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700"/>
        <w:gridCol w:w="2070"/>
        <w:gridCol w:w="2160"/>
        <w:gridCol w:w="1440"/>
      </w:tblGrid>
      <w:tr w:rsidR="005A150F" w:rsidRPr="005A150F" w:rsidTr="00B24F38">
        <w:trPr>
          <w:trHeight w:val="589"/>
        </w:trPr>
        <w:tc>
          <w:tcPr>
            <w:tcW w:w="1710" w:type="dxa"/>
            <w:vMerge w:val="restart"/>
            <w:vAlign w:val="center"/>
          </w:tcPr>
          <w:p w:rsidR="005A150F" w:rsidRPr="005A150F" w:rsidRDefault="005A150F" w:rsidP="00417EE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 w:rsidRPr="005A150F"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4"/>
          </w:tcPr>
          <w:p w:rsidR="005A150F" w:rsidRPr="005A150F" w:rsidRDefault="005A150F" w:rsidP="00417EEE">
            <w:pPr>
              <w:pStyle w:val="Head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5A150F">
              <w:rPr>
                <w:rFonts w:ascii="Arial" w:hAnsi="Arial" w:cs="Arial"/>
                <w:b/>
                <w:bCs/>
                <w:lang w:val="sv-SE"/>
              </w:rPr>
              <w:t>KEMENTERIAN PENDIDIKAN NASIONAL</w:t>
            </w:r>
          </w:p>
          <w:p w:rsidR="005A150F" w:rsidRPr="005A150F" w:rsidRDefault="005A150F" w:rsidP="00417EEE">
            <w:pPr>
              <w:pStyle w:val="Header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5A150F">
              <w:rPr>
                <w:rFonts w:ascii="Arial" w:hAnsi="Arial" w:cs="Arial"/>
                <w:b/>
                <w:bCs/>
                <w:lang w:val="sv-SE"/>
              </w:rPr>
              <w:t>UNIVERSITAS NEGERI YOGYAKARTA</w:t>
            </w:r>
            <w:r w:rsidRPr="005A150F">
              <w:rPr>
                <w:rFonts w:ascii="Arial" w:hAnsi="Arial" w:cs="Arial"/>
                <w:b/>
                <w:bCs/>
                <w:lang w:val="fi-FI"/>
              </w:rPr>
              <w:t xml:space="preserve"> </w:t>
            </w:r>
          </w:p>
          <w:p w:rsidR="005A150F" w:rsidRPr="005A150F" w:rsidRDefault="005A150F" w:rsidP="00417EEE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5A150F">
              <w:rPr>
                <w:rFonts w:ascii="Arial" w:hAnsi="Arial" w:cs="Arial"/>
                <w:b/>
                <w:bCs/>
                <w:lang w:val="fi-FI"/>
              </w:rPr>
              <w:t>FAKULTAS BAHASA DAN SENI</w:t>
            </w:r>
          </w:p>
          <w:p w:rsidR="005A150F" w:rsidRPr="005A150F" w:rsidRDefault="005A150F" w:rsidP="00417EE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 w:rsidRPr="005A150F">
              <w:rPr>
                <w:rFonts w:ascii="Arial" w:hAnsi="Arial" w:cs="Arial"/>
                <w:b/>
                <w:bCs/>
                <w:lang w:val="fi-FI"/>
              </w:rPr>
              <w:t xml:space="preserve">JURUSAN PENDIDIKAN BAHASA INGGRIS </w:t>
            </w:r>
          </w:p>
        </w:tc>
      </w:tr>
      <w:tr w:rsidR="005A150F" w:rsidRPr="005A150F" w:rsidTr="00B24F38">
        <w:trPr>
          <w:trHeight w:val="157"/>
        </w:trPr>
        <w:tc>
          <w:tcPr>
            <w:tcW w:w="1710" w:type="dxa"/>
            <w:vMerge/>
          </w:tcPr>
          <w:p w:rsidR="005A150F" w:rsidRPr="005A150F" w:rsidRDefault="005A150F" w:rsidP="00417EEE">
            <w:pPr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8370" w:type="dxa"/>
            <w:gridSpan w:val="4"/>
          </w:tcPr>
          <w:p w:rsidR="005A150F" w:rsidRPr="005A150F" w:rsidRDefault="005A150F" w:rsidP="00417EEE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5A150F">
              <w:rPr>
                <w:rFonts w:ascii="Arial" w:hAnsi="Arial" w:cs="Arial"/>
                <w:b/>
                <w:lang w:val="fi-FI"/>
              </w:rPr>
              <w:t>SILABUS</w:t>
            </w:r>
          </w:p>
        </w:tc>
      </w:tr>
      <w:tr w:rsidR="005A150F" w:rsidRPr="005A150F" w:rsidTr="00B24F38">
        <w:trPr>
          <w:trHeight w:val="157"/>
        </w:trPr>
        <w:tc>
          <w:tcPr>
            <w:tcW w:w="1710" w:type="dxa"/>
            <w:vMerge/>
          </w:tcPr>
          <w:p w:rsidR="005A150F" w:rsidRPr="005A150F" w:rsidRDefault="005A150F" w:rsidP="00417EEE">
            <w:pPr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00" w:type="dxa"/>
            <w:vAlign w:val="center"/>
          </w:tcPr>
          <w:p w:rsidR="005A150F" w:rsidRPr="005A150F" w:rsidRDefault="005A150F" w:rsidP="005A150F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150F">
              <w:rPr>
                <w:rFonts w:ascii="Arial" w:hAnsi="Arial" w:cs="Arial"/>
                <w:bCs/>
                <w:sz w:val="20"/>
                <w:szCs w:val="20"/>
              </w:rPr>
              <w:t>No. SIL/PBI/01</w:t>
            </w:r>
          </w:p>
        </w:tc>
        <w:tc>
          <w:tcPr>
            <w:tcW w:w="2070" w:type="dxa"/>
            <w:vAlign w:val="center"/>
          </w:tcPr>
          <w:p w:rsidR="005A150F" w:rsidRPr="005A150F" w:rsidRDefault="005A150F" w:rsidP="00417EEE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A150F">
              <w:rPr>
                <w:rFonts w:ascii="Arial" w:hAnsi="Arial" w:cs="Arial"/>
                <w:bCs/>
                <w:sz w:val="20"/>
                <w:szCs w:val="20"/>
              </w:rPr>
              <w:t>Revisi</w:t>
            </w:r>
            <w:proofErr w:type="spellEnd"/>
            <w:r w:rsidRPr="005A150F">
              <w:rPr>
                <w:rFonts w:ascii="Arial" w:hAnsi="Arial" w:cs="Arial"/>
                <w:bCs/>
                <w:sz w:val="20"/>
                <w:szCs w:val="20"/>
              </w:rPr>
              <w:t xml:space="preserve"> : 00</w:t>
            </w:r>
          </w:p>
        </w:tc>
        <w:tc>
          <w:tcPr>
            <w:tcW w:w="2160" w:type="dxa"/>
            <w:vAlign w:val="center"/>
          </w:tcPr>
          <w:p w:rsidR="005A150F" w:rsidRPr="005A150F" w:rsidRDefault="005A150F" w:rsidP="00417EEE">
            <w:pPr>
              <w:pStyle w:val="Header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A150F">
              <w:rPr>
                <w:rFonts w:ascii="Arial" w:hAnsi="Arial" w:cs="Arial"/>
                <w:bCs/>
                <w:sz w:val="20"/>
                <w:szCs w:val="20"/>
              </w:rPr>
              <w:t>Tgl</w:t>
            </w:r>
            <w:proofErr w:type="spellEnd"/>
            <w:r w:rsidRPr="005A150F">
              <w:rPr>
                <w:rFonts w:ascii="Arial" w:hAnsi="Arial" w:cs="Arial"/>
                <w:bCs/>
                <w:sz w:val="20"/>
                <w:szCs w:val="20"/>
              </w:rPr>
              <w:t xml:space="preserve"> : 1</w:t>
            </w:r>
            <w:r w:rsidR="00A5270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5A1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150F">
              <w:rPr>
                <w:rFonts w:ascii="Arial" w:hAnsi="Arial" w:cs="Arial"/>
                <w:bCs/>
                <w:sz w:val="20"/>
                <w:szCs w:val="20"/>
              </w:rPr>
              <w:t>Maret</w:t>
            </w:r>
            <w:proofErr w:type="spellEnd"/>
            <w:r w:rsidRPr="005A150F">
              <w:rPr>
                <w:rFonts w:ascii="Arial" w:hAnsi="Arial" w:cs="Arial"/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1440" w:type="dxa"/>
            <w:vAlign w:val="center"/>
          </w:tcPr>
          <w:p w:rsidR="005A150F" w:rsidRPr="005A150F" w:rsidRDefault="005A150F" w:rsidP="00417EEE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150F">
              <w:rPr>
                <w:rFonts w:ascii="Arial" w:hAnsi="Arial" w:cs="Arial"/>
                <w:bCs/>
                <w:sz w:val="20"/>
                <w:szCs w:val="20"/>
              </w:rPr>
              <w:t>Hal…</w:t>
            </w:r>
            <w:proofErr w:type="spellStart"/>
            <w:r w:rsidRPr="005A150F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5A150F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</w:tbl>
    <w:p w:rsidR="005A150F" w:rsidRPr="005A150F" w:rsidRDefault="005A150F" w:rsidP="005A150F">
      <w:pPr>
        <w:rPr>
          <w:rFonts w:ascii="Arial" w:hAnsi="Arial" w:cs="Arial"/>
        </w:rPr>
      </w:pPr>
    </w:p>
    <w:p w:rsidR="005A150F" w:rsidRPr="005A150F" w:rsidRDefault="005A150F" w:rsidP="00B24F38">
      <w:pPr>
        <w:tabs>
          <w:tab w:val="left" w:pos="0"/>
        </w:tabs>
        <w:rPr>
          <w:rFonts w:ascii="Arial" w:hAnsi="Arial" w:cs="Arial"/>
        </w:rPr>
      </w:pPr>
      <w:proofErr w:type="spellStart"/>
      <w:r w:rsidRPr="007F32D1">
        <w:rPr>
          <w:rFonts w:ascii="Arial" w:hAnsi="Arial" w:cs="Arial"/>
          <w:b/>
        </w:rPr>
        <w:t>Nama</w:t>
      </w:r>
      <w:proofErr w:type="spellEnd"/>
      <w:r w:rsidRPr="007F32D1">
        <w:rPr>
          <w:rFonts w:ascii="Arial" w:hAnsi="Arial" w:cs="Arial"/>
          <w:b/>
        </w:rPr>
        <w:t xml:space="preserve"> &amp; </w:t>
      </w:r>
      <w:proofErr w:type="spellStart"/>
      <w:r w:rsidRPr="007F32D1">
        <w:rPr>
          <w:rFonts w:ascii="Arial" w:hAnsi="Arial" w:cs="Arial"/>
          <w:b/>
        </w:rPr>
        <w:t>Kode</w:t>
      </w:r>
      <w:proofErr w:type="spellEnd"/>
      <w:r w:rsidRPr="007F32D1">
        <w:rPr>
          <w:rFonts w:ascii="Arial" w:hAnsi="Arial" w:cs="Arial"/>
          <w:b/>
        </w:rPr>
        <w:t xml:space="preserve"> Mata </w:t>
      </w:r>
      <w:proofErr w:type="spellStart"/>
      <w:r w:rsidRPr="007F32D1">
        <w:rPr>
          <w:rFonts w:ascii="Arial" w:hAnsi="Arial" w:cs="Arial"/>
          <w:b/>
        </w:rPr>
        <w:t>Kuliah</w:t>
      </w:r>
      <w:proofErr w:type="spellEnd"/>
      <w:r w:rsidRPr="007F32D1">
        <w:rPr>
          <w:rFonts w:ascii="Arial" w:hAnsi="Arial" w:cs="Arial"/>
          <w:b/>
        </w:rPr>
        <w:tab/>
      </w:r>
      <w:r w:rsidRPr="005A150F">
        <w:rPr>
          <w:rFonts w:ascii="Arial" w:hAnsi="Arial" w:cs="Arial"/>
        </w:rPr>
        <w:t>:</w:t>
      </w:r>
      <w:r w:rsidR="00D10868">
        <w:rPr>
          <w:rFonts w:ascii="Arial" w:hAnsi="Arial" w:cs="Arial"/>
        </w:rPr>
        <w:t xml:space="preserve"> </w:t>
      </w:r>
      <w:r w:rsidR="00C26F90">
        <w:rPr>
          <w:rFonts w:ascii="Arial" w:hAnsi="Arial" w:cs="Arial"/>
        </w:rPr>
        <w:t xml:space="preserve">SPEAKING 2, </w:t>
      </w:r>
      <w:r w:rsidR="00D10868">
        <w:rPr>
          <w:rFonts w:ascii="Arial" w:hAnsi="Arial" w:cs="Arial"/>
        </w:rPr>
        <w:t>ING206</w:t>
      </w:r>
    </w:p>
    <w:p w:rsidR="005A150F" w:rsidRPr="005A150F" w:rsidRDefault="005A150F" w:rsidP="00B24F38">
      <w:pPr>
        <w:tabs>
          <w:tab w:val="left" w:pos="0"/>
        </w:tabs>
        <w:rPr>
          <w:rFonts w:ascii="Arial" w:hAnsi="Arial" w:cs="Arial"/>
        </w:rPr>
      </w:pPr>
      <w:r w:rsidRPr="007F32D1">
        <w:rPr>
          <w:rFonts w:ascii="Arial" w:hAnsi="Arial" w:cs="Arial"/>
          <w:b/>
        </w:rPr>
        <w:t>S</w:t>
      </w:r>
      <w:r w:rsidRPr="007F32D1">
        <w:rPr>
          <w:rFonts w:ascii="Arial" w:hAnsi="Arial" w:cs="Arial"/>
          <w:b/>
          <w:lang w:val="id-ID"/>
        </w:rPr>
        <w:t>KS</w:t>
      </w:r>
      <w:r w:rsidRPr="005A150F">
        <w:rPr>
          <w:rFonts w:ascii="Arial" w:hAnsi="Arial" w:cs="Arial"/>
        </w:rPr>
        <w:tab/>
      </w:r>
      <w:r w:rsidRPr="005A150F">
        <w:rPr>
          <w:rFonts w:ascii="Arial" w:hAnsi="Arial" w:cs="Arial"/>
        </w:rPr>
        <w:tab/>
      </w:r>
      <w:r w:rsidRPr="005A150F">
        <w:rPr>
          <w:rFonts w:ascii="Arial" w:hAnsi="Arial" w:cs="Arial"/>
        </w:rPr>
        <w:tab/>
      </w:r>
      <w:r w:rsidRPr="005A150F">
        <w:rPr>
          <w:rFonts w:ascii="Arial" w:hAnsi="Arial" w:cs="Arial"/>
        </w:rPr>
        <w:tab/>
      </w:r>
      <w:r w:rsidR="00B24F38">
        <w:rPr>
          <w:rFonts w:ascii="Arial" w:hAnsi="Arial" w:cs="Arial"/>
        </w:rPr>
        <w:tab/>
      </w:r>
      <w:r w:rsidRPr="005A150F">
        <w:rPr>
          <w:rFonts w:ascii="Arial" w:hAnsi="Arial" w:cs="Arial"/>
        </w:rPr>
        <w:t xml:space="preserve">: </w:t>
      </w:r>
      <w:r w:rsidR="00D10868">
        <w:rPr>
          <w:rFonts w:ascii="Arial" w:hAnsi="Arial" w:cs="Arial"/>
        </w:rPr>
        <w:t xml:space="preserve"> </w:t>
      </w:r>
      <w:proofErr w:type="gramStart"/>
      <w:r w:rsidR="00D10868">
        <w:rPr>
          <w:rFonts w:ascii="Arial" w:hAnsi="Arial" w:cs="Arial"/>
        </w:rPr>
        <w:t>( 2</w:t>
      </w:r>
      <w:proofErr w:type="gramEnd"/>
      <w:r w:rsidRPr="005A150F">
        <w:rPr>
          <w:rFonts w:ascii="Arial" w:hAnsi="Arial" w:cs="Arial"/>
        </w:rPr>
        <w:t xml:space="preserve"> )   T …SKS; </w:t>
      </w:r>
      <w:r w:rsidR="00D10868">
        <w:rPr>
          <w:rFonts w:ascii="Arial" w:hAnsi="Arial" w:cs="Arial"/>
        </w:rPr>
        <w:t xml:space="preserve"> P 1 SKS; L 1 </w:t>
      </w:r>
      <w:r w:rsidRPr="005A150F">
        <w:rPr>
          <w:rFonts w:ascii="Arial" w:hAnsi="Arial" w:cs="Arial"/>
        </w:rPr>
        <w:t xml:space="preserve">SKS </w:t>
      </w:r>
    </w:p>
    <w:p w:rsidR="005A150F" w:rsidRPr="005A150F" w:rsidRDefault="005A150F" w:rsidP="00B24F38">
      <w:pPr>
        <w:tabs>
          <w:tab w:val="left" w:pos="0"/>
        </w:tabs>
        <w:rPr>
          <w:rFonts w:ascii="Arial" w:hAnsi="Arial" w:cs="Arial"/>
        </w:rPr>
      </w:pPr>
      <w:r w:rsidRPr="007F32D1">
        <w:rPr>
          <w:rFonts w:ascii="Arial" w:hAnsi="Arial" w:cs="Arial"/>
          <w:b/>
        </w:rPr>
        <w:t>Semester</w:t>
      </w:r>
      <w:r w:rsidRPr="005A150F">
        <w:rPr>
          <w:rFonts w:ascii="Arial" w:hAnsi="Arial" w:cs="Arial"/>
        </w:rPr>
        <w:tab/>
      </w:r>
      <w:r w:rsidRPr="005A150F">
        <w:rPr>
          <w:rFonts w:ascii="Arial" w:hAnsi="Arial" w:cs="Arial"/>
        </w:rPr>
        <w:tab/>
      </w:r>
      <w:r w:rsidRPr="005A15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50F">
        <w:rPr>
          <w:rFonts w:ascii="Arial" w:hAnsi="Arial" w:cs="Arial"/>
        </w:rPr>
        <w:t>:</w:t>
      </w:r>
      <w:r w:rsidR="007F32D1">
        <w:rPr>
          <w:rFonts w:ascii="Arial" w:hAnsi="Arial" w:cs="Arial"/>
        </w:rPr>
        <w:t xml:space="preserve">  2</w:t>
      </w:r>
    </w:p>
    <w:p w:rsidR="005A150F" w:rsidRPr="005A150F" w:rsidRDefault="005A150F" w:rsidP="00B24F38">
      <w:pPr>
        <w:tabs>
          <w:tab w:val="left" w:pos="3600"/>
        </w:tabs>
        <w:ind w:left="3690" w:hanging="3690"/>
        <w:rPr>
          <w:rFonts w:ascii="Arial" w:hAnsi="Arial" w:cs="Arial"/>
        </w:rPr>
      </w:pPr>
      <w:proofErr w:type="spellStart"/>
      <w:r w:rsidRPr="007F32D1">
        <w:rPr>
          <w:rFonts w:ascii="Arial" w:hAnsi="Arial" w:cs="Arial"/>
          <w:b/>
        </w:rPr>
        <w:t>Deskripsi</w:t>
      </w:r>
      <w:proofErr w:type="spellEnd"/>
      <w:r w:rsidRPr="007F32D1">
        <w:rPr>
          <w:rFonts w:ascii="Arial" w:hAnsi="Arial" w:cs="Arial"/>
          <w:b/>
        </w:rPr>
        <w:t xml:space="preserve"> Mata </w:t>
      </w:r>
      <w:proofErr w:type="spellStart"/>
      <w:r w:rsidRPr="007F32D1">
        <w:rPr>
          <w:rFonts w:ascii="Arial" w:hAnsi="Arial" w:cs="Arial"/>
          <w:b/>
        </w:rPr>
        <w:t>Kuliah</w:t>
      </w:r>
      <w:proofErr w:type="spellEnd"/>
      <w:r w:rsidRPr="005A150F">
        <w:rPr>
          <w:rFonts w:ascii="Arial" w:hAnsi="Arial" w:cs="Arial"/>
        </w:rPr>
        <w:t xml:space="preserve"> </w:t>
      </w:r>
      <w:r w:rsidR="00B24F38">
        <w:rPr>
          <w:rFonts w:ascii="Arial" w:hAnsi="Arial" w:cs="Arial"/>
        </w:rPr>
        <w:tab/>
      </w:r>
      <w:r w:rsidRPr="005A150F">
        <w:rPr>
          <w:rFonts w:ascii="Arial" w:hAnsi="Arial" w:cs="Arial"/>
        </w:rPr>
        <w:t xml:space="preserve">: </w:t>
      </w:r>
      <w:r w:rsidRPr="005A150F">
        <w:rPr>
          <w:rFonts w:ascii="Arial" w:hAnsi="Arial" w:cs="Arial"/>
          <w:sz w:val="22"/>
          <w:szCs w:val="22"/>
        </w:rPr>
        <w:t>Th</w:t>
      </w:r>
      <w:r w:rsidR="00D10868">
        <w:rPr>
          <w:rFonts w:ascii="Arial" w:hAnsi="Arial" w:cs="Arial"/>
          <w:sz w:val="22"/>
          <w:szCs w:val="22"/>
        </w:rPr>
        <w:t xml:space="preserve">is course is aimed at developing the students’ English speaking </w:t>
      </w:r>
      <w:r w:rsidR="00204777">
        <w:rPr>
          <w:rFonts w:ascii="Arial" w:hAnsi="Arial" w:cs="Arial"/>
          <w:sz w:val="22"/>
          <w:szCs w:val="22"/>
        </w:rPr>
        <w:t>skills and</w:t>
      </w:r>
      <w:r w:rsidR="00D10868">
        <w:rPr>
          <w:rFonts w:ascii="Arial" w:hAnsi="Arial" w:cs="Arial"/>
          <w:sz w:val="22"/>
          <w:szCs w:val="22"/>
        </w:rPr>
        <w:t xml:space="preserve"> competence </w:t>
      </w:r>
      <w:proofErr w:type="gramStart"/>
      <w:r w:rsidR="00D10868">
        <w:rPr>
          <w:rFonts w:ascii="Arial" w:hAnsi="Arial" w:cs="Arial"/>
          <w:sz w:val="22"/>
          <w:szCs w:val="22"/>
        </w:rPr>
        <w:t xml:space="preserve">in </w:t>
      </w:r>
      <w:r w:rsidR="00516117">
        <w:rPr>
          <w:rFonts w:ascii="Arial" w:hAnsi="Arial" w:cs="Arial"/>
          <w:b/>
        </w:rPr>
        <w:t xml:space="preserve"> </w:t>
      </w:r>
      <w:r w:rsidR="00D10868">
        <w:rPr>
          <w:rFonts w:ascii="Arial" w:hAnsi="Arial" w:cs="Arial"/>
          <w:sz w:val="22"/>
          <w:szCs w:val="22"/>
        </w:rPr>
        <w:t>engaging</w:t>
      </w:r>
      <w:proofErr w:type="gramEnd"/>
      <w:r w:rsidR="00D10868">
        <w:rPr>
          <w:rFonts w:ascii="Arial" w:hAnsi="Arial" w:cs="Arial"/>
          <w:sz w:val="22"/>
          <w:szCs w:val="22"/>
        </w:rPr>
        <w:t xml:space="preserve"> in daily conversations.</w:t>
      </w:r>
      <w:r w:rsidR="00516117">
        <w:rPr>
          <w:rFonts w:ascii="Arial" w:hAnsi="Arial" w:cs="Arial"/>
          <w:sz w:val="22"/>
          <w:szCs w:val="22"/>
        </w:rPr>
        <w:t xml:space="preserve"> </w:t>
      </w:r>
      <w:r w:rsidR="00D10868">
        <w:rPr>
          <w:rFonts w:ascii="Arial" w:hAnsi="Arial" w:cs="Arial"/>
          <w:sz w:val="22"/>
          <w:szCs w:val="22"/>
        </w:rPr>
        <w:t xml:space="preserve">The focus is on fluency, accuracy </w:t>
      </w:r>
      <w:r w:rsidR="00204777">
        <w:rPr>
          <w:rFonts w:ascii="Arial" w:hAnsi="Arial" w:cs="Arial"/>
          <w:sz w:val="22"/>
          <w:szCs w:val="22"/>
        </w:rPr>
        <w:t>and appropriateness</w:t>
      </w:r>
      <w:r w:rsidR="00D10868">
        <w:rPr>
          <w:rFonts w:ascii="Arial" w:hAnsi="Arial" w:cs="Arial"/>
          <w:sz w:val="22"/>
          <w:szCs w:val="22"/>
        </w:rPr>
        <w:t xml:space="preserve">. The topics involve casual </w:t>
      </w:r>
      <w:r w:rsidR="00204777">
        <w:rPr>
          <w:rFonts w:ascii="Arial" w:hAnsi="Arial" w:cs="Arial"/>
          <w:sz w:val="22"/>
          <w:szCs w:val="22"/>
        </w:rPr>
        <w:t>and formal</w:t>
      </w:r>
      <w:r w:rsidR="00D10868">
        <w:rPr>
          <w:rFonts w:ascii="Arial" w:hAnsi="Arial" w:cs="Arial"/>
          <w:sz w:val="22"/>
          <w:szCs w:val="22"/>
        </w:rPr>
        <w:t xml:space="preserve"> daily conversations in more </w:t>
      </w:r>
      <w:r w:rsidR="00204777">
        <w:rPr>
          <w:rFonts w:ascii="Arial" w:hAnsi="Arial" w:cs="Arial"/>
          <w:sz w:val="22"/>
          <w:szCs w:val="22"/>
        </w:rPr>
        <w:t>complex themes</w:t>
      </w:r>
      <w:r w:rsidR="00D10868">
        <w:rPr>
          <w:rFonts w:ascii="Arial" w:hAnsi="Arial" w:cs="Arial"/>
          <w:sz w:val="22"/>
          <w:szCs w:val="22"/>
        </w:rPr>
        <w:t>.</w:t>
      </w:r>
      <w:r w:rsidR="008C4194">
        <w:rPr>
          <w:rFonts w:ascii="Arial" w:hAnsi="Arial" w:cs="Arial"/>
          <w:sz w:val="22"/>
          <w:szCs w:val="22"/>
        </w:rPr>
        <w:t xml:space="preserve"> </w:t>
      </w:r>
      <w:r w:rsidR="007F32D1">
        <w:rPr>
          <w:rFonts w:ascii="Arial" w:hAnsi="Arial" w:cs="Arial"/>
          <w:sz w:val="22"/>
          <w:szCs w:val="22"/>
        </w:rPr>
        <w:t xml:space="preserve"> </w:t>
      </w:r>
      <w:r w:rsidR="00D10868">
        <w:rPr>
          <w:rFonts w:ascii="Arial" w:hAnsi="Arial" w:cs="Arial"/>
          <w:sz w:val="22"/>
          <w:szCs w:val="22"/>
        </w:rPr>
        <w:t xml:space="preserve">In addition to </w:t>
      </w:r>
      <w:r w:rsidR="00B24F38">
        <w:rPr>
          <w:rFonts w:ascii="Arial" w:hAnsi="Arial" w:cs="Arial"/>
          <w:sz w:val="22"/>
          <w:szCs w:val="22"/>
        </w:rPr>
        <w:t>l</w:t>
      </w:r>
      <w:r w:rsidR="00D10868">
        <w:rPr>
          <w:rFonts w:ascii="Arial" w:hAnsi="Arial" w:cs="Arial"/>
          <w:sz w:val="22"/>
          <w:szCs w:val="22"/>
        </w:rPr>
        <w:t>ectures, the activity covers games,</w:t>
      </w:r>
      <w:r w:rsidR="00A52705">
        <w:rPr>
          <w:rFonts w:ascii="Arial" w:hAnsi="Arial" w:cs="Arial"/>
          <w:sz w:val="22"/>
          <w:szCs w:val="22"/>
        </w:rPr>
        <w:t xml:space="preserve"> role play, quizzes, </w:t>
      </w:r>
      <w:r w:rsidR="00D10868">
        <w:rPr>
          <w:rFonts w:ascii="Arial" w:hAnsi="Arial" w:cs="Arial"/>
          <w:sz w:val="22"/>
          <w:szCs w:val="22"/>
        </w:rPr>
        <w:t>interviews,</w:t>
      </w:r>
      <w:r w:rsidR="00B24F38">
        <w:rPr>
          <w:rFonts w:ascii="Arial" w:hAnsi="Arial" w:cs="Arial"/>
          <w:sz w:val="22"/>
          <w:szCs w:val="22"/>
        </w:rPr>
        <w:t xml:space="preserve"> </w:t>
      </w:r>
      <w:r w:rsidR="00D10868">
        <w:rPr>
          <w:rFonts w:ascii="Arial" w:hAnsi="Arial" w:cs="Arial"/>
          <w:sz w:val="22"/>
          <w:szCs w:val="22"/>
        </w:rPr>
        <w:t>information transfers as well</w:t>
      </w:r>
      <w:r w:rsidR="00B24F38">
        <w:rPr>
          <w:rFonts w:ascii="Arial" w:hAnsi="Arial" w:cs="Arial"/>
          <w:sz w:val="22"/>
          <w:szCs w:val="22"/>
        </w:rPr>
        <w:t xml:space="preserve"> </w:t>
      </w:r>
      <w:r w:rsidR="00516117">
        <w:rPr>
          <w:rFonts w:ascii="Arial" w:hAnsi="Arial" w:cs="Arial"/>
          <w:sz w:val="22"/>
          <w:szCs w:val="22"/>
        </w:rPr>
        <w:t xml:space="preserve"> </w:t>
      </w:r>
      <w:r w:rsidR="00D10868">
        <w:rPr>
          <w:rFonts w:ascii="Arial" w:hAnsi="Arial" w:cs="Arial"/>
          <w:sz w:val="22"/>
          <w:szCs w:val="22"/>
        </w:rPr>
        <w:t xml:space="preserve"> as information exchange.    </w:t>
      </w:r>
    </w:p>
    <w:p w:rsidR="005A150F" w:rsidRPr="00FD1887" w:rsidRDefault="005A150F" w:rsidP="00403FF0">
      <w:pPr>
        <w:numPr>
          <w:ilvl w:val="0"/>
          <w:numId w:val="1"/>
        </w:numPr>
        <w:tabs>
          <w:tab w:val="left" w:pos="90"/>
        </w:tabs>
        <w:ind w:left="90" w:firstLine="0"/>
        <w:rPr>
          <w:rFonts w:ascii="Arial" w:hAnsi="Arial" w:cs="Arial"/>
          <w:b/>
        </w:rPr>
      </w:pPr>
      <w:proofErr w:type="spellStart"/>
      <w:r w:rsidRPr="00FD1887">
        <w:rPr>
          <w:rFonts w:ascii="Arial" w:hAnsi="Arial" w:cs="Arial"/>
          <w:b/>
        </w:rPr>
        <w:t>Uraian</w:t>
      </w:r>
      <w:proofErr w:type="spellEnd"/>
      <w:r w:rsidRPr="00FD1887">
        <w:rPr>
          <w:rFonts w:ascii="Arial" w:hAnsi="Arial" w:cs="Arial"/>
          <w:b/>
        </w:rPr>
        <w:t xml:space="preserve"> </w:t>
      </w:r>
      <w:proofErr w:type="spellStart"/>
      <w:r w:rsidRPr="00FD1887">
        <w:rPr>
          <w:rFonts w:ascii="Arial" w:hAnsi="Arial" w:cs="Arial"/>
          <w:b/>
        </w:rPr>
        <w:t>Silabus</w:t>
      </w:r>
      <w:proofErr w:type="spellEnd"/>
    </w:p>
    <w:p w:rsidR="005A150F" w:rsidRPr="005A150F" w:rsidRDefault="005A150F" w:rsidP="005A150F">
      <w:pPr>
        <w:tabs>
          <w:tab w:val="left" w:pos="3119"/>
        </w:tabs>
        <w:ind w:left="1412"/>
        <w:rPr>
          <w:rFonts w:ascii="Arial" w:hAnsi="Arial" w:cs="Arial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430"/>
        <w:gridCol w:w="2880"/>
        <w:gridCol w:w="2610"/>
        <w:gridCol w:w="1530"/>
      </w:tblGrid>
      <w:tr w:rsidR="00B24F38" w:rsidRPr="00E400B0" w:rsidTr="002509AB">
        <w:trPr>
          <w:trHeight w:val="407"/>
        </w:trPr>
        <w:tc>
          <w:tcPr>
            <w:tcW w:w="630" w:type="dxa"/>
          </w:tcPr>
          <w:p w:rsidR="005A150F" w:rsidRPr="00E400B0" w:rsidRDefault="005A150F" w:rsidP="00417EEE">
            <w:pPr>
              <w:jc w:val="center"/>
              <w:rPr>
                <w:rFonts w:ascii="Arial" w:hAnsi="Arial" w:cs="Arial"/>
                <w:b/>
              </w:rPr>
            </w:pPr>
            <w:r w:rsidRPr="00E400B0">
              <w:rPr>
                <w:rFonts w:ascii="Arial" w:hAnsi="Arial" w:cs="Arial"/>
                <w:b/>
                <w:sz w:val="22"/>
                <w:szCs w:val="22"/>
              </w:rPr>
              <w:t>TM</w:t>
            </w:r>
          </w:p>
        </w:tc>
        <w:tc>
          <w:tcPr>
            <w:tcW w:w="2430" w:type="dxa"/>
          </w:tcPr>
          <w:p w:rsidR="005A150F" w:rsidRPr="00E400B0" w:rsidRDefault="005A150F" w:rsidP="00417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Standar</w:t>
            </w:r>
            <w:proofErr w:type="spellEnd"/>
            <w:r w:rsidRPr="00E40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Kompetensi</w:t>
            </w:r>
            <w:proofErr w:type="spellEnd"/>
          </w:p>
        </w:tc>
        <w:tc>
          <w:tcPr>
            <w:tcW w:w="2880" w:type="dxa"/>
          </w:tcPr>
          <w:p w:rsidR="005A150F" w:rsidRPr="00E400B0" w:rsidRDefault="005A150F" w:rsidP="00417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Kompetensi</w:t>
            </w:r>
            <w:proofErr w:type="spellEnd"/>
            <w:r w:rsidRPr="00E40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2610" w:type="dxa"/>
          </w:tcPr>
          <w:p w:rsidR="005A150F" w:rsidRPr="00E400B0" w:rsidRDefault="005A150F" w:rsidP="00417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Materi</w:t>
            </w:r>
            <w:proofErr w:type="spellEnd"/>
            <w:r w:rsidRPr="00E40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Pokok</w:t>
            </w:r>
            <w:proofErr w:type="spellEnd"/>
          </w:p>
        </w:tc>
        <w:tc>
          <w:tcPr>
            <w:tcW w:w="1530" w:type="dxa"/>
          </w:tcPr>
          <w:p w:rsidR="005A150F" w:rsidRPr="00E400B0" w:rsidRDefault="005A150F" w:rsidP="00417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Sumber</w:t>
            </w:r>
            <w:proofErr w:type="spellEnd"/>
            <w:r w:rsidRPr="00E40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00B0">
              <w:rPr>
                <w:rFonts w:ascii="Arial" w:hAnsi="Arial" w:cs="Arial"/>
                <w:b/>
                <w:sz w:val="22"/>
                <w:szCs w:val="22"/>
              </w:rPr>
              <w:t>Bahan</w:t>
            </w:r>
            <w:proofErr w:type="spellEnd"/>
          </w:p>
        </w:tc>
      </w:tr>
      <w:tr w:rsidR="00EF1975" w:rsidRPr="00E400B0" w:rsidTr="002509AB">
        <w:trPr>
          <w:trHeight w:val="407"/>
        </w:trPr>
        <w:tc>
          <w:tcPr>
            <w:tcW w:w="630" w:type="dxa"/>
          </w:tcPr>
          <w:p w:rsidR="00EF1975" w:rsidRPr="00E400B0" w:rsidRDefault="00EF1975" w:rsidP="00EF1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30" w:type="dxa"/>
            <w:vMerge w:val="restart"/>
          </w:tcPr>
          <w:p w:rsidR="00B24F38" w:rsidRDefault="00B24F38" w:rsidP="00417EEE">
            <w:pPr>
              <w:rPr>
                <w:rFonts w:ascii="Arial" w:hAnsi="Arial" w:cs="Arial"/>
              </w:rPr>
            </w:pPr>
          </w:p>
          <w:p w:rsidR="00B24F38" w:rsidRDefault="00B24F38" w:rsidP="00417EEE">
            <w:pPr>
              <w:rPr>
                <w:rFonts w:ascii="Arial" w:hAnsi="Arial" w:cs="Arial"/>
              </w:rPr>
            </w:pPr>
          </w:p>
          <w:p w:rsidR="00B24F38" w:rsidRDefault="00B24F38" w:rsidP="00417EEE">
            <w:pPr>
              <w:rPr>
                <w:rFonts w:ascii="Arial" w:hAnsi="Arial" w:cs="Arial"/>
              </w:rPr>
            </w:pPr>
          </w:p>
          <w:p w:rsidR="00B24F38" w:rsidRDefault="00B24F38" w:rsidP="00417EEE">
            <w:pPr>
              <w:rPr>
                <w:rFonts w:ascii="Arial" w:hAnsi="Arial" w:cs="Arial"/>
              </w:rPr>
            </w:pPr>
          </w:p>
          <w:p w:rsidR="00EF1975" w:rsidRPr="00E400B0" w:rsidRDefault="00EF1975" w:rsidP="00417EEE">
            <w:pPr>
              <w:rPr>
                <w:rFonts w:ascii="Arial" w:hAnsi="Arial" w:cs="Arial"/>
                <w:b/>
              </w:rPr>
            </w:pPr>
            <w:r w:rsidRPr="00E400B0">
              <w:rPr>
                <w:rFonts w:ascii="Arial" w:hAnsi="Arial" w:cs="Arial"/>
                <w:sz w:val="22"/>
                <w:szCs w:val="22"/>
              </w:rPr>
              <w:t>Students are able to engage themselves in daily conversations of various topics fluently, accurately and appropriately.</w:t>
            </w:r>
          </w:p>
        </w:tc>
        <w:tc>
          <w:tcPr>
            <w:tcW w:w="2880" w:type="dxa"/>
          </w:tcPr>
          <w:p w:rsidR="00EF1975" w:rsidRPr="00093965" w:rsidRDefault="00A17784" w:rsidP="00A1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&amp; o</w:t>
            </w:r>
            <w:r w:rsidR="00093965" w:rsidRPr="00093965">
              <w:rPr>
                <w:rFonts w:ascii="Arial" w:hAnsi="Arial" w:cs="Arial"/>
                <w:sz w:val="22"/>
                <w:szCs w:val="22"/>
              </w:rPr>
              <w:t>rientation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course</w:t>
            </w:r>
          </w:p>
        </w:tc>
        <w:tc>
          <w:tcPr>
            <w:tcW w:w="2610" w:type="dxa"/>
          </w:tcPr>
          <w:p w:rsidR="00EF1975" w:rsidRPr="00093965" w:rsidRDefault="00093965" w:rsidP="00A17784">
            <w:pPr>
              <w:rPr>
                <w:rFonts w:ascii="Arial" w:hAnsi="Arial" w:cs="Arial"/>
              </w:rPr>
            </w:pPr>
            <w:r w:rsidRPr="00093965">
              <w:rPr>
                <w:rFonts w:ascii="Arial" w:hAnsi="Arial" w:cs="Arial"/>
                <w:sz w:val="22"/>
                <w:szCs w:val="22"/>
              </w:rPr>
              <w:t>Understanding the course</w:t>
            </w:r>
            <w:r w:rsidR="00A17784" w:rsidRPr="00093965">
              <w:rPr>
                <w:rFonts w:ascii="Arial" w:hAnsi="Arial" w:cs="Arial"/>
                <w:sz w:val="22"/>
                <w:szCs w:val="22"/>
              </w:rPr>
              <w:t xml:space="preserve"> details</w:t>
            </w:r>
          </w:p>
        </w:tc>
        <w:tc>
          <w:tcPr>
            <w:tcW w:w="1530" w:type="dxa"/>
          </w:tcPr>
          <w:p w:rsidR="00EF1975" w:rsidRPr="00A0525A" w:rsidRDefault="00A0525A" w:rsidP="00417EEE">
            <w:pPr>
              <w:jc w:val="center"/>
              <w:rPr>
                <w:rFonts w:ascii="Arial" w:hAnsi="Arial" w:cs="Arial"/>
              </w:rPr>
            </w:pPr>
            <w:r w:rsidRPr="00A0525A">
              <w:rPr>
                <w:rFonts w:ascii="Arial" w:hAnsi="Arial" w:cs="Arial"/>
                <w:sz w:val="22"/>
                <w:szCs w:val="22"/>
              </w:rPr>
              <w:t>syllabus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D6172C" w:rsidRDefault="00EF1975" w:rsidP="00417EEE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Arial" w:hAnsi="Arial" w:cs="Arial"/>
              </w:rPr>
            </w:pPr>
            <w:r w:rsidRPr="00E400B0">
              <w:rPr>
                <w:rFonts w:ascii="Arial" w:hAnsi="Arial" w:cs="Arial"/>
                <w:sz w:val="22"/>
                <w:szCs w:val="22"/>
              </w:rPr>
              <w:t>able to communicate their feelings and thoughts using the appropriate expression</w:t>
            </w:r>
          </w:p>
        </w:tc>
        <w:tc>
          <w:tcPr>
            <w:tcW w:w="2610" w:type="dxa"/>
          </w:tcPr>
          <w:p w:rsidR="00093965" w:rsidRDefault="00EF1975" w:rsidP="00093965">
            <w:pPr>
              <w:rPr>
                <w:rFonts w:ascii="Arial" w:hAnsi="Arial" w:cs="Arial"/>
              </w:rPr>
            </w:pPr>
            <w:r w:rsidRPr="00A73338">
              <w:rPr>
                <w:rFonts w:ascii="Arial" w:hAnsi="Arial" w:cs="Arial"/>
                <w:sz w:val="22"/>
                <w:szCs w:val="22"/>
              </w:rPr>
              <w:t>Expressing degrees of certainty</w:t>
            </w:r>
            <w:r w:rsidR="000939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1975" w:rsidRPr="00A73338" w:rsidRDefault="00EF1975" w:rsidP="00093965">
            <w:pPr>
              <w:rPr>
                <w:rFonts w:ascii="Arial" w:hAnsi="Arial" w:cs="Arial"/>
              </w:rPr>
            </w:pPr>
            <w:r w:rsidRPr="00A73338">
              <w:rPr>
                <w:rFonts w:ascii="Arial" w:hAnsi="Arial" w:cs="Arial"/>
                <w:sz w:val="22"/>
                <w:szCs w:val="22"/>
              </w:rPr>
              <w:t>Enquiring about degrees of certainty</w:t>
            </w:r>
          </w:p>
        </w:tc>
        <w:tc>
          <w:tcPr>
            <w:tcW w:w="1530" w:type="dxa"/>
          </w:tcPr>
          <w:p w:rsidR="00EF1975" w:rsidRPr="00A73338" w:rsidRDefault="00EF1975" w:rsidP="00417EEE">
            <w:pPr>
              <w:rPr>
                <w:rFonts w:ascii="Arial" w:hAnsi="Arial" w:cs="Arial"/>
              </w:rPr>
            </w:pPr>
            <w:r w:rsidRPr="00A73338">
              <w:rPr>
                <w:lang w:val="sv-SE" w:eastAsia="ko-KR"/>
              </w:rPr>
              <w:t>Blundell, J., et al. (p. 21-28)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F1975" w:rsidRPr="00A73338" w:rsidRDefault="00EF1975" w:rsidP="00A73338">
            <w:pPr>
              <w:rPr>
                <w:rFonts w:ascii="Arial" w:hAnsi="Arial" w:cs="Arial"/>
              </w:rPr>
            </w:pPr>
            <w:r w:rsidRPr="00A73338">
              <w:rPr>
                <w:rFonts w:ascii="Arial" w:hAnsi="Arial" w:cs="Arial"/>
                <w:sz w:val="22"/>
                <w:szCs w:val="22"/>
              </w:rPr>
              <w:t>Expressing  that someone is or isn’t permitted, or permissible</w:t>
            </w:r>
          </w:p>
          <w:p w:rsidR="00EF1975" w:rsidRPr="00E400B0" w:rsidRDefault="00EF1975" w:rsidP="00A73338">
            <w:pPr>
              <w:rPr>
                <w:rFonts w:ascii="Arial" w:hAnsi="Arial" w:cs="Arial"/>
              </w:rPr>
            </w:pPr>
            <w:r w:rsidRPr="00A73338">
              <w:rPr>
                <w:rFonts w:ascii="Arial" w:hAnsi="Arial" w:cs="Arial"/>
                <w:sz w:val="22"/>
                <w:szCs w:val="22"/>
              </w:rPr>
              <w:t>Granting permission , Withholding permission</w:t>
            </w:r>
          </w:p>
        </w:tc>
        <w:tc>
          <w:tcPr>
            <w:tcW w:w="15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118-121)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2509AB" w:rsidRDefault="00403FF0" w:rsidP="00417EEE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Arial" w:hAnsi="Arial" w:cs="Arial"/>
              </w:rPr>
            </w:pPr>
            <w:r w:rsidRPr="00403FF0">
              <w:rPr>
                <w:rFonts w:ascii="Arial" w:hAnsi="Arial" w:cs="Arial"/>
                <w:sz w:val="22"/>
                <w:szCs w:val="22"/>
              </w:rPr>
              <w:t>grow positive attitude toward speaking courses</w:t>
            </w:r>
          </w:p>
        </w:tc>
        <w:tc>
          <w:tcPr>
            <w:tcW w:w="261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hopes and wishes</w:t>
            </w:r>
          </w:p>
        </w:tc>
        <w:tc>
          <w:tcPr>
            <w:tcW w:w="15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35)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F1975" w:rsidRPr="00253CBA" w:rsidRDefault="00EF1975" w:rsidP="00A73338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interest, lack of interest</w:t>
            </w:r>
          </w:p>
          <w:p w:rsidR="00EF1975" w:rsidRPr="00E400B0" w:rsidRDefault="00EF1975" w:rsidP="00A73338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interest, lack of interest</w:t>
            </w:r>
          </w:p>
        </w:tc>
        <w:tc>
          <w:tcPr>
            <w:tcW w:w="15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85-88)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F1975" w:rsidRPr="00253CBA" w:rsidRDefault="00EF1975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likes, dislikes, preferences</w:t>
            </w:r>
          </w:p>
          <w:p w:rsidR="00EF1975" w:rsidRPr="00E400B0" w:rsidRDefault="00EF1975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likes, dislikes, preferences</w:t>
            </w:r>
          </w:p>
        </w:tc>
        <w:tc>
          <w:tcPr>
            <w:tcW w:w="15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60-66)</w:t>
            </w:r>
          </w:p>
        </w:tc>
      </w:tr>
      <w:tr w:rsidR="00EF1975" w:rsidRPr="00E400B0" w:rsidTr="002509AB">
        <w:trPr>
          <w:trHeight w:val="285"/>
        </w:trPr>
        <w:tc>
          <w:tcPr>
            <w:tcW w:w="630" w:type="dxa"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30" w:type="dxa"/>
            <w:vMerge/>
          </w:tcPr>
          <w:p w:rsidR="00EF1975" w:rsidRPr="00E400B0" w:rsidRDefault="00EF1975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F1975" w:rsidRPr="00B24F38" w:rsidRDefault="00B24F38" w:rsidP="00B24F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B24F38">
              <w:rPr>
                <w:rFonts w:ascii="Arial" w:hAnsi="Arial" w:cs="Arial"/>
                <w:sz w:val="22"/>
                <w:szCs w:val="22"/>
              </w:rPr>
              <w:t>able to apply the degrees of formality and informality in speaking appropriately</w:t>
            </w:r>
          </w:p>
        </w:tc>
        <w:tc>
          <w:tcPr>
            <w:tcW w:w="2610" w:type="dxa"/>
          </w:tcPr>
          <w:p w:rsidR="00EF1975" w:rsidRPr="00253CBA" w:rsidRDefault="00EF1975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Inviting, accepting an offer or invitation, declining an offer or invitation,</w:t>
            </w:r>
          </w:p>
          <w:p w:rsidR="00EF1975" w:rsidRPr="00E400B0" w:rsidRDefault="00EF1975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whether an offer or invitation is accepted or not</w:t>
            </w:r>
          </w:p>
        </w:tc>
        <w:tc>
          <w:tcPr>
            <w:tcW w:w="1530" w:type="dxa"/>
          </w:tcPr>
          <w:p w:rsidR="00EF1975" w:rsidRPr="00253CBA" w:rsidRDefault="00EF1975" w:rsidP="00E43124">
            <w:pPr>
              <w:rPr>
                <w:rFonts w:ascii="Arial" w:hAnsi="Arial" w:cs="Arial"/>
              </w:rPr>
            </w:pPr>
            <w:proofErr w:type="spellStart"/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Tillit</w:t>
            </w:r>
            <w:proofErr w:type="spellEnd"/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B., &amp; </w:t>
            </w:r>
            <w:proofErr w:type="spellStart"/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Bruder</w:t>
            </w:r>
            <w:proofErr w:type="spellEnd"/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, M.N</w:t>
            </w:r>
            <w:r w:rsidRPr="00253CBA">
              <w:rPr>
                <w:rFonts w:ascii="Arial" w:hAnsi="Arial" w:cs="Arial"/>
                <w:sz w:val="22"/>
                <w:szCs w:val="22"/>
              </w:rPr>
              <w:t xml:space="preserve"> (p.23)</w:t>
            </w:r>
          </w:p>
          <w:p w:rsidR="00EF1975" w:rsidRPr="00E400B0" w:rsidRDefault="00EF1975" w:rsidP="00E43124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Blundell, J., et al. (p. 179-183)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840A3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obligation</w:t>
            </w:r>
          </w:p>
          <w:p w:rsidR="00C26F90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obligation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123-130)</w:t>
            </w:r>
          </w:p>
        </w:tc>
      </w:tr>
      <w:tr w:rsidR="00F13CD3" w:rsidRPr="00E400B0" w:rsidTr="00B24F38">
        <w:trPr>
          <w:trHeight w:val="285"/>
        </w:trPr>
        <w:tc>
          <w:tcPr>
            <w:tcW w:w="630" w:type="dxa"/>
          </w:tcPr>
          <w:p w:rsidR="00F13CD3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20" w:type="dxa"/>
            <w:gridSpan w:val="3"/>
          </w:tcPr>
          <w:p w:rsidR="00F13CD3" w:rsidRPr="00F13CD3" w:rsidRDefault="00F13CD3" w:rsidP="00F13CD3">
            <w:pPr>
              <w:jc w:val="center"/>
              <w:rPr>
                <w:rFonts w:ascii="Arial" w:hAnsi="Arial" w:cs="Arial"/>
                <w:b/>
              </w:rPr>
            </w:pPr>
            <w:r w:rsidRPr="00F13CD3">
              <w:rPr>
                <w:rFonts w:ascii="Arial" w:hAnsi="Arial" w:cs="Arial"/>
                <w:b/>
                <w:sz w:val="22"/>
                <w:szCs w:val="22"/>
              </w:rPr>
              <w:t>MID SEMESTER TEST</w:t>
            </w:r>
          </w:p>
        </w:tc>
        <w:tc>
          <w:tcPr>
            <w:tcW w:w="1530" w:type="dxa"/>
          </w:tcPr>
          <w:p w:rsidR="00F13CD3" w:rsidRPr="00253CBA" w:rsidRDefault="00F13CD3" w:rsidP="00417EEE">
            <w:pPr>
              <w:rPr>
                <w:rFonts w:ascii="Arial" w:hAnsi="Arial" w:cs="Arial"/>
                <w:lang w:val="sv-SE" w:eastAsia="ko-KR"/>
              </w:rPr>
            </w:pP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EF1975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D6172C" w:rsidRDefault="00D6172C" w:rsidP="00D6172C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Arial" w:hAnsi="Arial" w:cs="Arial"/>
              </w:rPr>
            </w:pPr>
            <w:r w:rsidRPr="00D6172C">
              <w:rPr>
                <w:rFonts w:ascii="Arial" w:hAnsi="Arial" w:cs="Arial"/>
                <w:sz w:val="22"/>
                <w:szCs w:val="22"/>
              </w:rPr>
              <w:t xml:space="preserve">able to set clear objectives for speaking and organize talks in a logical </w:t>
            </w:r>
            <w:r w:rsidRPr="00D6172C">
              <w:rPr>
                <w:rFonts w:ascii="Arial" w:hAnsi="Arial" w:cs="Arial"/>
                <w:sz w:val="22"/>
                <w:szCs w:val="22"/>
              </w:rPr>
              <w:lastRenderedPageBreak/>
              <w:t>manner</w:t>
            </w:r>
          </w:p>
        </w:tc>
        <w:tc>
          <w:tcPr>
            <w:tcW w:w="2610" w:type="dxa"/>
          </w:tcPr>
          <w:p w:rsidR="00E840A3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lastRenderedPageBreak/>
              <w:t>Expressing intention</w:t>
            </w:r>
          </w:p>
          <w:p w:rsidR="00C26F90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intentions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110-111)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F13CD3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F1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840A3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satisfaction, dissatisfaction</w:t>
            </w:r>
          </w:p>
          <w:p w:rsidR="00C26F90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Enquiring satisfaction, dissatisfaction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nl-BE" w:eastAsia="ko-KR"/>
              </w:rPr>
              <w:t xml:space="preserve">Van Ek, J.A., &amp; Trim, J.L.M.    </w:t>
            </w:r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(p.36  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C26F90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6F90" w:rsidRPr="00253CBA" w:rsidRDefault="00E840A3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Expressing regret and sympathy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eastAsia="ko-KR"/>
              </w:rPr>
              <w:t>Blundell, J., et al. (p. 199-203)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C26F90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6F90" w:rsidRPr="00253CBA" w:rsidRDefault="00E840A3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Denying statement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nl-BE" w:eastAsia="ko-KR"/>
              </w:rPr>
              <w:t>Van Ek, J.A., &amp; Trim, J.L.M. (p.30 )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C26F90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6F90" w:rsidRPr="00253CBA" w:rsidRDefault="00E840A3" w:rsidP="00C26F90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Asking someone for something</w:t>
            </w:r>
          </w:p>
        </w:tc>
        <w:tc>
          <w:tcPr>
            <w:tcW w:w="1530" w:type="dxa"/>
          </w:tcPr>
          <w:p w:rsidR="00C26F90" w:rsidRPr="00E400B0" w:rsidRDefault="00E840A3" w:rsidP="00417EEE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nl-BE" w:eastAsia="ko-KR"/>
              </w:rPr>
              <w:t>Van Ek, J.A., &amp; Trim, J.L.M. (p. 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C26F90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03FF0" w:rsidRPr="00403FF0" w:rsidRDefault="00D86B7C" w:rsidP="00403FF0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403FF0" w:rsidRPr="00403FF0">
              <w:rPr>
                <w:rFonts w:ascii="Arial" w:hAnsi="Arial" w:cs="Arial"/>
                <w:sz w:val="22"/>
                <w:szCs w:val="22"/>
              </w:rPr>
              <w:t>have higher self confidence in speaking</w:t>
            </w:r>
          </w:p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840A3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 xml:space="preserve">Asking whether you </w:t>
            </w:r>
            <w:r>
              <w:rPr>
                <w:rFonts w:ascii="Arial" w:hAnsi="Arial" w:cs="Arial"/>
                <w:sz w:val="22"/>
                <w:szCs w:val="22"/>
              </w:rPr>
              <w:t>are heard and understood</w:t>
            </w:r>
          </w:p>
          <w:p w:rsidR="00C26F90" w:rsidRPr="00253CBA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</w:rPr>
              <w:t>Signaling that you are hearing and understanding</w:t>
            </w:r>
          </w:p>
        </w:tc>
        <w:tc>
          <w:tcPr>
            <w:tcW w:w="1530" w:type="dxa"/>
          </w:tcPr>
          <w:p w:rsidR="00E840A3" w:rsidRPr="00253CBA" w:rsidRDefault="00E840A3" w:rsidP="00E840A3">
            <w:pPr>
              <w:rPr>
                <w:rFonts w:ascii="Arial" w:hAnsi="Arial" w:cs="Arial"/>
                <w:lang w:val="sv-SE" w:eastAsia="ko-KR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sv-SE" w:eastAsia="ko-KR"/>
              </w:rPr>
              <w:t>Blundell, J., et al. (p. 211-219)</w:t>
            </w:r>
          </w:p>
          <w:p w:rsidR="00C26F90" w:rsidRPr="00E400B0" w:rsidRDefault="00E840A3" w:rsidP="00E840A3">
            <w:pPr>
              <w:rPr>
                <w:rFonts w:ascii="Arial" w:hAnsi="Arial" w:cs="Arial"/>
              </w:rPr>
            </w:pPr>
            <w:r w:rsidRPr="00253CBA">
              <w:rPr>
                <w:rFonts w:ascii="Arial" w:hAnsi="Arial" w:cs="Arial"/>
                <w:sz w:val="22"/>
                <w:szCs w:val="22"/>
                <w:lang w:val="nl-BE" w:eastAsia="ko-KR"/>
              </w:rPr>
              <w:t>Van Ek, J.A., &amp; Trim, J.L.M. (p. 45)</w:t>
            </w:r>
          </w:p>
        </w:tc>
      </w:tr>
      <w:tr w:rsidR="00B24F38" w:rsidRPr="00E400B0" w:rsidTr="002509AB">
        <w:trPr>
          <w:trHeight w:val="285"/>
        </w:trPr>
        <w:tc>
          <w:tcPr>
            <w:tcW w:w="630" w:type="dxa"/>
          </w:tcPr>
          <w:p w:rsidR="00C26F90" w:rsidRDefault="00C26F90" w:rsidP="0041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24F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6F90" w:rsidRPr="00253CBA" w:rsidRDefault="00B24F38" w:rsidP="00C26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530" w:type="dxa"/>
          </w:tcPr>
          <w:p w:rsidR="00C26F90" w:rsidRPr="00E400B0" w:rsidRDefault="00C26F90" w:rsidP="00417EEE">
            <w:pPr>
              <w:rPr>
                <w:rFonts w:ascii="Arial" w:hAnsi="Arial" w:cs="Arial"/>
              </w:rPr>
            </w:pPr>
          </w:p>
        </w:tc>
      </w:tr>
    </w:tbl>
    <w:p w:rsidR="005A150F" w:rsidRPr="00C26F90" w:rsidRDefault="005A150F" w:rsidP="00C26F90">
      <w:pPr>
        <w:rPr>
          <w:rFonts w:ascii="Arial" w:hAnsi="Arial" w:cs="Arial"/>
        </w:rPr>
      </w:pPr>
    </w:p>
    <w:p w:rsidR="005A150F" w:rsidRPr="005A150F" w:rsidRDefault="005A150F" w:rsidP="005A150F">
      <w:pPr>
        <w:tabs>
          <w:tab w:val="left" w:pos="540"/>
        </w:tabs>
        <w:rPr>
          <w:rFonts w:ascii="Arial" w:hAnsi="Arial" w:cs="Arial"/>
        </w:rPr>
      </w:pPr>
    </w:p>
    <w:tbl>
      <w:tblPr>
        <w:tblW w:w="6946" w:type="dxa"/>
        <w:tblInd w:w="1951" w:type="dxa"/>
        <w:tblLayout w:type="fixed"/>
        <w:tblLook w:val="01E0"/>
      </w:tblPr>
      <w:tblGrid>
        <w:gridCol w:w="1181"/>
        <w:gridCol w:w="237"/>
        <w:gridCol w:w="5528"/>
      </w:tblGrid>
      <w:tr w:rsidR="005A150F" w:rsidRPr="005A150F" w:rsidTr="00417EEE">
        <w:tc>
          <w:tcPr>
            <w:tcW w:w="1181" w:type="dxa"/>
          </w:tcPr>
          <w:p w:rsidR="005A150F" w:rsidRPr="005A150F" w:rsidRDefault="005A150F" w:rsidP="00A73338">
            <w:pPr>
              <w:spacing w:after="200"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37" w:type="dxa"/>
          </w:tcPr>
          <w:p w:rsidR="005A150F" w:rsidRPr="005A150F" w:rsidRDefault="005A150F" w:rsidP="00417EEE">
            <w:pPr>
              <w:pStyle w:val="Header"/>
              <w:rPr>
                <w:rFonts w:ascii="Arial" w:hAnsi="Arial" w:cs="Arial"/>
                <w:lang w:val="id-ID"/>
              </w:rPr>
            </w:pPr>
          </w:p>
        </w:tc>
        <w:tc>
          <w:tcPr>
            <w:tcW w:w="5528" w:type="dxa"/>
          </w:tcPr>
          <w:p w:rsidR="005A150F" w:rsidRPr="005A150F" w:rsidRDefault="005A150F" w:rsidP="00417EEE">
            <w:pPr>
              <w:pStyle w:val="Header"/>
              <w:rPr>
                <w:rFonts w:ascii="Arial" w:hAnsi="Arial" w:cs="Arial"/>
                <w:lang w:val="id-ID"/>
              </w:rPr>
            </w:pPr>
          </w:p>
        </w:tc>
      </w:tr>
    </w:tbl>
    <w:p w:rsidR="00A655E2" w:rsidRDefault="008704A6">
      <w:pPr>
        <w:rPr>
          <w:rFonts w:ascii="Arial" w:hAnsi="Arial" w:cs="Arial"/>
        </w:rPr>
      </w:pPr>
      <w:r>
        <w:rPr>
          <w:rFonts w:ascii="Arial" w:hAnsi="Arial" w:cs="Arial"/>
        </w:rPr>
        <w:t>Yogyakarta, 17 March 2011</w:t>
      </w:r>
    </w:p>
    <w:p w:rsidR="008704A6" w:rsidRDefault="008704A6">
      <w:pPr>
        <w:rPr>
          <w:rFonts w:ascii="Arial" w:hAnsi="Arial" w:cs="Arial"/>
        </w:rPr>
      </w:pPr>
      <w:r>
        <w:rPr>
          <w:rFonts w:ascii="Arial" w:hAnsi="Arial" w:cs="Arial"/>
        </w:rPr>
        <w:t>Lecturer,</w:t>
      </w:r>
    </w:p>
    <w:p w:rsidR="008704A6" w:rsidRDefault="008704A6">
      <w:pPr>
        <w:rPr>
          <w:rFonts w:ascii="Arial" w:hAnsi="Arial" w:cs="Arial"/>
        </w:rPr>
      </w:pPr>
    </w:p>
    <w:p w:rsidR="008704A6" w:rsidRDefault="008704A6">
      <w:pPr>
        <w:rPr>
          <w:rFonts w:ascii="Arial" w:hAnsi="Arial" w:cs="Arial"/>
        </w:rPr>
      </w:pPr>
    </w:p>
    <w:p w:rsidR="008704A6" w:rsidRDefault="008704A6">
      <w:pPr>
        <w:rPr>
          <w:rFonts w:ascii="Arial" w:hAnsi="Arial" w:cs="Arial"/>
        </w:rPr>
      </w:pPr>
    </w:p>
    <w:p w:rsidR="008704A6" w:rsidRPr="008704A6" w:rsidRDefault="008704A6">
      <w:pPr>
        <w:rPr>
          <w:rFonts w:ascii="Arial" w:hAnsi="Arial" w:cs="Arial"/>
          <w:u w:val="single"/>
        </w:rPr>
      </w:pPr>
      <w:proofErr w:type="spellStart"/>
      <w:r w:rsidRPr="008704A6">
        <w:rPr>
          <w:rFonts w:ascii="Arial" w:hAnsi="Arial" w:cs="Arial"/>
          <w:u w:val="single"/>
        </w:rPr>
        <w:t>Ashadi</w:t>
      </w:r>
      <w:proofErr w:type="spellEnd"/>
      <w:r w:rsidRPr="008704A6">
        <w:rPr>
          <w:rFonts w:ascii="Arial" w:hAnsi="Arial" w:cs="Arial"/>
          <w:u w:val="single"/>
        </w:rPr>
        <w:t xml:space="preserve">, </w:t>
      </w:r>
      <w:proofErr w:type="spellStart"/>
      <w:r w:rsidRPr="008704A6">
        <w:rPr>
          <w:rFonts w:ascii="Arial" w:hAnsi="Arial" w:cs="Arial"/>
          <w:u w:val="single"/>
        </w:rPr>
        <w:t>M.Hum</w:t>
      </w:r>
      <w:proofErr w:type="spellEnd"/>
      <w:r w:rsidRPr="008704A6">
        <w:rPr>
          <w:rFonts w:ascii="Arial" w:hAnsi="Arial" w:cs="Arial"/>
          <w:u w:val="single"/>
        </w:rPr>
        <w:t>.</w:t>
      </w:r>
    </w:p>
    <w:p w:rsidR="008704A6" w:rsidRPr="005A150F" w:rsidRDefault="008704A6">
      <w:pPr>
        <w:rPr>
          <w:rFonts w:ascii="Arial" w:hAnsi="Arial" w:cs="Arial"/>
        </w:rPr>
      </w:pPr>
      <w:r>
        <w:rPr>
          <w:rFonts w:ascii="Arial" w:hAnsi="Arial" w:cs="Arial"/>
        </w:rPr>
        <w:t>19760324 200801 1 007</w:t>
      </w:r>
    </w:p>
    <w:sectPr w:rsidR="008704A6" w:rsidRPr="005A150F" w:rsidSect="00B24F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EC5"/>
    <w:multiLevelType w:val="hybridMultilevel"/>
    <w:tmpl w:val="C9E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20697"/>
    <w:multiLevelType w:val="hybridMultilevel"/>
    <w:tmpl w:val="F11E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7809"/>
    <w:multiLevelType w:val="multilevel"/>
    <w:tmpl w:val="01C07EC6"/>
    <w:lvl w:ilvl="0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1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41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150F"/>
    <w:rsid w:val="00093965"/>
    <w:rsid w:val="000F7109"/>
    <w:rsid w:val="00204777"/>
    <w:rsid w:val="002509AB"/>
    <w:rsid w:val="00403FF0"/>
    <w:rsid w:val="00451600"/>
    <w:rsid w:val="00516117"/>
    <w:rsid w:val="005A150F"/>
    <w:rsid w:val="0072049A"/>
    <w:rsid w:val="007454D4"/>
    <w:rsid w:val="007F32D1"/>
    <w:rsid w:val="008664C5"/>
    <w:rsid w:val="008704A6"/>
    <w:rsid w:val="008C4194"/>
    <w:rsid w:val="00A0525A"/>
    <w:rsid w:val="00A17784"/>
    <w:rsid w:val="00A52705"/>
    <w:rsid w:val="00A655E2"/>
    <w:rsid w:val="00A73338"/>
    <w:rsid w:val="00B24F38"/>
    <w:rsid w:val="00C26F90"/>
    <w:rsid w:val="00D10868"/>
    <w:rsid w:val="00D6172C"/>
    <w:rsid w:val="00D86B7C"/>
    <w:rsid w:val="00E400B0"/>
    <w:rsid w:val="00E43124"/>
    <w:rsid w:val="00E840A3"/>
    <w:rsid w:val="00EE4103"/>
    <w:rsid w:val="00EF1975"/>
    <w:rsid w:val="00F13CD3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5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2011-03-19T05:54:00Z</cp:lastPrinted>
  <dcterms:created xsi:type="dcterms:W3CDTF">2011-03-19T02:16:00Z</dcterms:created>
  <dcterms:modified xsi:type="dcterms:W3CDTF">2011-03-19T05:55:00Z</dcterms:modified>
</cp:coreProperties>
</file>