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0" w:rsidRPr="004108D6" w:rsidRDefault="00D059A7" w:rsidP="00D05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53074D" w:rsidRPr="00CC1050" w:rsidRDefault="0053074D" w:rsidP="0052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015D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A0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D2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BF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4E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BF04E0">
        <w:rPr>
          <w:rFonts w:ascii="Times New Roman" w:hAnsi="Times New Roman" w:cs="Times New Roman"/>
          <w:sz w:val="24"/>
          <w:szCs w:val="24"/>
        </w:rPr>
        <w:t xml:space="preserve"> PBJ 223/ Semester 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F04E0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F038A0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F0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945DBA" w:rsidRPr="00945DBA" w:rsidRDefault="00945DBA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BE7C9D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BE7C9D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9D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BE7C9D" w:rsidRPr="001D3267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82"/>
      </w:tblGrid>
      <w:tr w:rsidR="00BE7C9D" w:rsidTr="00BE7C9D">
        <w:tc>
          <w:tcPr>
            <w:tcW w:w="12600" w:type="dxa"/>
          </w:tcPr>
          <w:p w:rsidR="00BE7C9D" w:rsidRDefault="00BE7C9D" w:rsidP="00526C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C9D" w:rsidRDefault="00BE7C9D" w:rsidP="00526C11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C9D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BE7C9D" w:rsidRPr="004D3F42" w:rsidRDefault="00BE7C9D" w:rsidP="00526C11">
      <w:pPr>
        <w:tabs>
          <w:tab w:val="left" w:pos="270"/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82"/>
      </w:tblGrid>
      <w:tr w:rsidR="00BE7C9D" w:rsidTr="00BE7C9D">
        <w:tc>
          <w:tcPr>
            <w:tcW w:w="10080" w:type="dxa"/>
          </w:tcPr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nonsatra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proofErr w:type="spellEnd"/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D27"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</w:p>
          <w:p w:rsidR="00BF04E0" w:rsidRPr="00BE7C9D" w:rsidRDefault="00BF04E0" w:rsidP="00526C11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9D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BE7C9D" w:rsidTr="004B21C9">
        <w:tc>
          <w:tcPr>
            <w:tcW w:w="8298" w:type="dxa"/>
          </w:tcPr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BF04E0" w:rsidRPr="00BF04E0" w:rsidRDefault="00BF04E0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9D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4E0" w:rsidRPr="00BF04E0" w:rsidRDefault="00BF04E0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0"/>
      </w:tblGrid>
      <w:tr w:rsidR="00BE7C9D" w:rsidTr="00526C11">
        <w:tc>
          <w:tcPr>
            <w:tcW w:w="9378" w:type="dxa"/>
          </w:tcPr>
          <w:p w:rsidR="00BD0713" w:rsidRPr="00FF4143" w:rsidRDefault="00BE7C9D" w:rsidP="00FF4143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143" w:rsidRDefault="00FF4143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384" w:rsidRDefault="007D761D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 Aziz,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Sohaimi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2003.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Kritikan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Sastera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Modenisme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Pascamodenisme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Pascakolonialisme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Kuala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2384" w:rsidRDefault="00222384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84" w:rsidRDefault="00222384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Abdullah </w:t>
            </w:r>
            <w:proofErr w:type="spellStart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>Ciptoprawiro</w:t>
            </w:r>
            <w:proofErr w:type="spellEnd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>. 1986</w:t>
            </w:r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Filsafat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6C11" w:rsidRPr="00222384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  <w:r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="00526C11"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384" w:rsidRDefault="00222384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14" w:rsidRDefault="00714414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D.W.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Fokkema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Elrud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Kunne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Ibsch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1998.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Abad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Kedua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Puluh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PT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Gramedia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Pustaka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Utama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IKAPI.</w:t>
            </w:r>
          </w:p>
          <w:p w:rsidR="00714414" w:rsidRDefault="00714414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C11" w:rsidRPr="00222384" w:rsidRDefault="00526C11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>Graaf</w:t>
            </w:r>
            <w:proofErr w:type="spellEnd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, 1987.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Awal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Kebangkitan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Mataram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Masa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Pemerintahan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Senapati</w:t>
            </w:r>
            <w:proofErr w:type="spellEnd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</w:p>
          <w:p w:rsidR="009E101A" w:rsidRDefault="00526C11" w:rsidP="009E101A">
            <w:pPr>
              <w:pStyle w:val="ListParagraph"/>
              <w:tabs>
                <w:tab w:val="left" w:pos="540"/>
                <w:tab w:val="left" w:pos="1080"/>
                <w:tab w:val="left" w:pos="1170"/>
              </w:tabs>
              <w:ind w:left="144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Grafiti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Pers. </w:t>
            </w:r>
          </w:p>
          <w:p w:rsidR="009E101A" w:rsidRDefault="009E101A" w:rsidP="009E101A">
            <w:pPr>
              <w:pStyle w:val="ListParagraph"/>
              <w:tabs>
                <w:tab w:val="left" w:pos="540"/>
                <w:tab w:val="left" w:pos="1080"/>
                <w:tab w:val="left" w:pos="1170"/>
              </w:tabs>
              <w:ind w:left="144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9E101A" w:rsidRDefault="00526C11" w:rsidP="009E101A">
            <w:pPr>
              <w:tabs>
                <w:tab w:val="left" w:pos="270"/>
                <w:tab w:val="left" w:pos="540"/>
                <w:tab w:val="left" w:pos="1170"/>
              </w:tabs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01A">
              <w:rPr>
                <w:rFonts w:ascii="Times New Roman" w:hAnsi="Times New Roman" w:cs="Times New Roman"/>
                <w:sz w:val="24"/>
                <w:szCs w:val="24"/>
              </w:rPr>
              <w:t>Haryanto</w:t>
            </w:r>
            <w:proofErr w:type="spellEnd"/>
            <w:r w:rsidRPr="009E101A">
              <w:rPr>
                <w:rFonts w:ascii="Times New Roman" w:hAnsi="Times New Roman" w:cs="Times New Roman"/>
                <w:sz w:val="24"/>
                <w:szCs w:val="24"/>
              </w:rPr>
              <w:t xml:space="preserve">, 1992.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Pratiwimba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Adiluhung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Perkembangan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Wayang</w:t>
            </w:r>
            <w:proofErr w:type="spellEnd"/>
            <w:r w:rsidRPr="009E1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C11" w:rsidRDefault="00526C11" w:rsidP="009E101A">
            <w:pPr>
              <w:pStyle w:val="ListParagraph"/>
              <w:tabs>
                <w:tab w:val="left" w:pos="810"/>
              </w:tabs>
              <w:ind w:left="108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Djambatan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Kamajaya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1980.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Pujangga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Ranggawarsita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Yogya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Mangkunegara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IV. 1982.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Serat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Tripama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Garapan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Kamajaya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>Centhini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26C11" w:rsidRPr="00526C11" w:rsidRDefault="00526C11" w:rsidP="009E101A">
            <w:pPr>
              <w:pStyle w:val="ListParagraph"/>
              <w:tabs>
                <w:tab w:val="left" w:pos="540"/>
                <w:tab w:val="left" w:pos="810"/>
              </w:tabs>
              <w:ind w:left="9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Yogyakarta. </w:t>
            </w:r>
          </w:p>
          <w:p w:rsidR="00526C11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______________. 1983.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Serat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Wedhatama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Garapan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Anjar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Any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Aneka </w:t>
            </w:r>
            <w:proofErr w:type="spellStart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Semarang.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Sartono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Kartodirjo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1987.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Baru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1500 – 1900,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Emporium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Imperium I. Jakarta: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222384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1996.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Sufisme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Transforma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Tasawuf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Mistik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Bentang</w:t>
            </w:r>
            <w:proofErr w:type="spellEnd"/>
            <w:r w:rsidR="00222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Yogyakarta.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1982.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Wayang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Filsafat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Haji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Masagung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__________. 1989.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Simboli</w:t>
            </w:r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sme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Mistikisme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Wayang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  <w:r w:rsidR="002223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2384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Haji </w:t>
            </w:r>
            <w:proofErr w:type="spellStart"/>
            <w:proofErr w:type="gramStart"/>
            <w:r w:rsidR="00222384" w:rsidRPr="00526C11">
              <w:rPr>
                <w:rFonts w:ascii="Times New Roman" w:hAnsi="Times New Roman" w:cs="Times New Roman"/>
                <w:sz w:val="24"/>
                <w:szCs w:val="24"/>
              </w:rPr>
              <w:t>Masagung</w:t>
            </w:r>
            <w:proofErr w:type="spellEnd"/>
            <w:r w:rsidR="0022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Sudewa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1989.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Serat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Panitisastra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Resepsi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Transformasi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Yogyakarta: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Disertasi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Pascasarjana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UGM.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Yasadipura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I, 1920.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Serat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Babad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Giyanti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Jakarta.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Zoetmulder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1985.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Kalangwan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Kuna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Selayang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Pandang.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Dick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Hartoko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Djambatan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_______________1991.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Manunggaling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Kawula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Gusti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Dick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Hartoko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C11" w:rsidRP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7D761D" w:rsidRPr="00FF4143" w:rsidRDefault="007D761D" w:rsidP="00FF4143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61D" w:rsidRPr="00D059A7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Eagleton, Terry. 1988.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Kasusteraan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Pengenalan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Selangor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Darul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Ehsan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Dewan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Pustaka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Lot 1037.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Endraswara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Epistemologi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Model,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Yogyakarta: CAPS.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Karsono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Saputra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Percik-Percik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Nurgiyantoro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Burhan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2000.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Teori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Pengkajian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Fiksi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Yogyakarta: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Gadjah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Mada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 Press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Padmosoekotjo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1960.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Ngrengrengan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Kasusastran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Ratna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Nyoman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Kutha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2008.</w:t>
            </w:r>
            <w:r w:rsidRPr="004D22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Penelitian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Sastra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Teori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Metode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Teknik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Yogyakarta: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Pustaka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Pelajar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Selden, Raman. 1989.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Kasusasteraan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Kuala Lumpur: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Malaysia Kuala Lumpur.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A. 1988.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Sastra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Jakarta: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Dunia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Pustaka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Jaya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1917-1942.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Modern. Yogyakarta: PT Tiara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61D" w:rsidRP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Wellek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Rene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Austin Warren. 1993.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Teori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Kesusastraan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diterjemahkan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oleh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Melani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Budianta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Jakarta: PT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Gramedia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Pustaka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Utama</w:t>
            </w:r>
            <w:proofErr w:type="spellEnd"/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Sri. 2001.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Ikhtisar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Prakemerdekaan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Gajah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BE7C9D" w:rsidRPr="00024B0A" w:rsidRDefault="00BE7C9D" w:rsidP="00D059A7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9D" w:rsidRPr="00590111" w:rsidRDefault="00BE7C9D" w:rsidP="005901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BE7C9D" w:rsidRDefault="00BE7C9D" w:rsidP="00526C11">
      <w:pPr>
        <w:tabs>
          <w:tab w:val="left" w:pos="540"/>
          <w:tab w:val="left" w:pos="6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74D" w:rsidRDefault="0053074D" w:rsidP="00526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074D" w:rsidSect="001B6AEC">
      <w:pgSz w:w="11909" w:h="16834" w:code="9"/>
      <w:pgMar w:top="1440" w:right="1699" w:bottom="113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069E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73F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99F"/>
    <w:multiLevelType w:val="hybridMultilevel"/>
    <w:tmpl w:val="D77EA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E25"/>
    <w:multiLevelType w:val="hybridMultilevel"/>
    <w:tmpl w:val="0CC8B7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467C0"/>
    <w:multiLevelType w:val="hybridMultilevel"/>
    <w:tmpl w:val="E9589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762B"/>
    <w:multiLevelType w:val="hybridMultilevel"/>
    <w:tmpl w:val="609CC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72AC8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5DF7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D97"/>
    <w:multiLevelType w:val="hybridMultilevel"/>
    <w:tmpl w:val="D34E1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5684"/>
    <w:multiLevelType w:val="hybridMultilevel"/>
    <w:tmpl w:val="CBC49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645AD"/>
    <w:multiLevelType w:val="hybridMultilevel"/>
    <w:tmpl w:val="7AC8B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4D92"/>
    <w:multiLevelType w:val="hybridMultilevel"/>
    <w:tmpl w:val="B3E266BE"/>
    <w:lvl w:ilvl="0" w:tplc="B502B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8"/>
  </w:num>
  <w:num w:numId="8">
    <w:abstractNumId w:val="17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81F9D"/>
    <w:rsid w:val="000C4D1F"/>
    <w:rsid w:val="000D7DD3"/>
    <w:rsid w:val="00130806"/>
    <w:rsid w:val="001B6AEC"/>
    <w:rsid w:val="00222384"/>
    <w:rsid w:val="002F6E85"/>
    <w:rsid w:val="00302B55"/>
    <w:rsid w:val="00340585"/>
    <w:rsid w:val="003D7A77"/>
    <w:rsid w:val="003E4E05"/>
    <w:rsid w:val="003F29E8"/>
    <w:rsid w:val="00401639"/>
    <w:rsid w:val="004108D6"/>
    <w:rsid w:val="00432437"/>
    <w:rsid w:val="00463BDF"/>
    <w:rsid w:val="004B117B"/>
    <w:rsid w:val="004D22E0"/>
    <w:rsid w:val="00526C11"/>
    <w:rsid w:val="0053074D"/>
    <w:rsid w:val="005840C7"/>
    <w:rsid w:val="00590111"/>
    <w:rsid w:val="00690DBE"/>
    <w:rsid w:val="007072B2"/>
    <w:rsid w:val="00714414"/>
    <w:rsid w:val="007D26AD"/>
    <w:rsid w:val="007D3861"/>
    <w:rsid w:val="007D761D"/>
    <w:rsid w:val="00867C37"/>
    <w:rsid w:val="008A2254"/>
    <w:rsid w:val="00945DBA"/>
    <w:rsid w:val="009E101A"/>
    <w:rsid w:val="00A015D2"/>
    <w:rsid w:val="00B95917"/>
    <w:rsid w:val="00BD0713"/>
    <w:rsid w:val="00BE7C9D"/>
    <w:rsid w:val="00BF04E0"/>
    <w:rsid w:val="00BF410A"/>
    <w:rsid w:val="00CC1050"/>
    <w:rsid w:val="00D059A7"/>
    <w:rsid w:val="00DD5BC5"/>
    <w:rsid w:val="00E35D26"/>
    <w:rsid w:val="00E735B8"/>
    <w:rsid w:val="00F038A0"/>
    <w:rsid w:val="00F56D27"/>
    <w:rsid w:val="00FA57A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39EB-6B82-4D27-BCF9-670ABF30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2014-10-08T13:10:00Z</cp:lastPrinted>
  <dcterms:created xsi:type="dcterms:W3CDTF">2014-11-27T14:40:00Z</dcterms:created>
  <dcterms:modified xsi:type="dcterms:W3CDTF">2014-11-27T15:10:00Z</dcterms:modified>
</cp:coreProperties>
</file>