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75"/>
        <w:gridCol w:w="7875"/>
      </w:tblGrid>
      <w:tr w:rsidR="00E14768" w:rsidRPr="00E14768" w:rsidTr="00DC4CB4">
        <w:trPr>
          <w:tblCellSpacing w:w="15" w:type="dxa"/>
        </w:trPr>
        <w:tc>
          <w:tcPr>
            <w:tcW w:w="1530" w:type="dxa"/>
            <w:vAlign w:val="center"/>
            <w:hideMark/>
          </w:tcPr>
          <w:p w:rsidR="00E14768" w:rsidRPr="00E14768" w:rsidRDefault="00E14768" w:rsidP="00E14768">
            <w:pPr>
              <w:spacing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Authors</w:t>
            </w:r>
          </w:p>
        </w:tc>
        <w:tc>
          <w:tcPr>
            <w:tcW w:w="7830" w:type="dxa"/>
            <w:vAlign w:val="center"/>
            <w:hideMark/>
          </w:tcPr>
          <w:p w:rsidR="00E14768" w:rsidRDefault="00E14768" w:rsidP="00E14768">
            <w:pPr>
              <w:spacing w:after="0" w:line="240" w:lineRule="auto"/>
              <w:rPr>
                <w:rFonts w:ascii="Times New Roman" w:eastAsia="Times New Roman" w:hAnsi="Times New Roman" w:cs="Times New Roman"/>
                <w:sz w:val="24"/>
                <w:szCs w:val="24"/>
              </w:rPr>
            </w:pPr>
            <w:proofErr w:type="spellStart"/>
            <w:r w:rsidRPr="00E14768">
              <w:rPr>
                <w:rFonts w:ascii="Times New Roman" w:eastAsia="Times New Roman" w:hAnsi="Times New Roman" w:cs="Times New Roman"/>
                <w:sz w:val="24"/>
                <w:szCs w:val="24"/>
              </w:rPr>
              <w:t>Zein</w:t>
            </w:r>
            <w:proofErr w:type="spellEnd"/>
            <w:r w:rsidRPr="00E14768">
              <w:rPr>
                <w:rFonts w:ascii="Times New Roman" w:eastAsia="Times New Roman" w:hAnsi="Times New Roman" w:cs="Times New Roman"/>
                <w:sz w:val="24"/>
                <w:szCs w:val="24"/>
              </w:rPr>
              <w:t xml:space="preserve"> Muhammad </w:t>
            </w:r>
            <w:proofErr w:type="spellStart"/>
            <w:r w:rsidRPr="00E14768">
              <w:rPr>
                <w:rFonts w:ascii="Times New Roman" w:eastAsia="Times New Roman" w:hAnsi="Times New Roman" w:cs="Times New Roman"/>
                <w:sz w:val="24"/>
                <w:szCs w:val="24"/>
              </w:rPr>
              <w:t>Ikhwan</w:t>
            </w:r>
            <w:proofErr w:type="spellEnd"/>
            <w:r w:rsidRPr="00E14768">
              <w:rPr>
                <w:rFonts w:ascii="Times New Roman" w:eastAsia="Times New Roman" w:hAnsi="Times New Roman" w:cs="Times New Roman"/>
                <w:sz w:val="24"/>
                <w:szCs w:val="24"/>
              </w:rPr>
              <w:t xml:space="preserve">*, </w:t>
            </w:r>
            <w:r w:rsidRPr="00E14768">
              <w:rPr>
                <w:rFonts w:ascii="Times New Roman" w:eastAsia="Times New Roman" w:hAnsi="Times New Roman" w:cs="Times New Roman"/>
                <w:sz w:val="24"/>
                <w:szCs w:val="24"/>
              </w:rPr>
              <w:br/>
            </w:r>
            <w:proofErr w:type="spellStart"/>
            <w:r w:rsidRPr="00E14768">
              <w:rPr>
                <w:rFonts w:ascii="Times New Roman" w:eastAsia="Times New Roman" w:hAnsi="Times New Roman" w:cs="Times New Roman"/>
                <w:sz w:val="24"/>
                <w:szCs w:val="24"/>
              </w:rPr>
              <w:t>Kurniarobbi</w:t>
            </w:r>
            <w:proofErr w:type="spellEnd"/>
            <w:r w:rsidRPr="00E14768">
              <w:rPr>
                <w:rFonts w:ascii="Times New Roman" w:eastAsia="Times New Roman" w:hAnsi="Times New Roman" w:cs="Times New Roman"/>
                <w:sz w:val="24"/>
                <w:szCs w:val="24"/>
              </w:rPr>
              <w:t xml:space="preserve"> Jull, </w:t>
            </w:r>
            <w:r w:rsidRPr="00E14768">
              <w:rPr>
                <w:rFonts w:ascii="Times New Roman" w:eastAsia="Times New Roman" w:hAnsi="Times New Roman" w:cs="Times New Roman"/>
                <w:sz w:val="24"/>
                <w:szCs w:val="24"/>
              </w:rPr>
              <w:br/>
            </w:r>
            <w:proofErr w:type="spellStart"/>
            <w:r w:rsidRPr="00E14768">
              <w:rPr>
                <w:rFonts w:ascii="Times New Roman" w:eastAsia="Times New Roman" w:hAnsi="Times New Roman" w:cs="Times New Roman"/>
                <w:sz w:val="24"/>
                <w:szCs w:val="24"/>
              </w:rPr>
              <w:t>Agung</w:t>
            </w:r>
            <w:proofErr w:type="spellEnd"/>
            <w:r w:rsidRPr="00E14768">
              <w:rPr>
                <w:rFonts w:ascii="Times New Roman" w:eastAsia="Times New Roman" w:hAnsi="Times New Roman" w:cs="Times New Roman"/>
                <w:sz w:val="24"/>
                <w:szCs w:val="24"/>
              </w:rPr>
              <w:t xml:space="preserve"> </w:t>
            </w:r>
            <w:proofErr w:type="spellStart"/>
            <w:r w:rsidRPr="00E14768">
              <w:rPr>
                <w:rFonts w:ascii="Times New Roman" w:eastAsia="Times New Roman" w:hAnsi="Times New Roman" w:cs="Times New Roman"/>
                <w:sz w:val="24"/>
                <w:szCs w:val="24"/>
              </w:rPr>
              <w:t>Nawanto</w:t>
            </w:r>
            <w:proofErr w:type="spellEnd"/>
            <w:r w:rsidRPr="00E14768">
              <w:rPr>
                <w:rFonts w:ascii="Times New Roman" w:eastAsia="Times New Roman" w:hAnsi="Times New Roman" w:cs="Times New Roman"/>
                <w:sz w:val="24"/>
                <w:szCs w:val="24"/>
              </w:rPr>
              <w:t xml:space="preserve">, </w:t>
            </w:r>
          </w:p>
          <w:p w:rsidR="00DC4CB4" w:rsidRPr="00E14768" w:rsidRDefault="00DC4CB4" w:rsidP="00E14768">
            <w:pPr>
              <w:spacing w:after="0" w:line="240" w:lineRule="auto"/>
              <w:rPr>
                <w:rFonts w:ascii="Times New Roman" w:eastAsia="Times New Roman" w:hAnsi="Times New Roman" w:cs="Times New Roman"/>
                <w:sz w:val="24"/>
                <w:szCs w:val="24"/>
              </w:rPr>
            </w:pPr>
            <w:bookmarkStart w:id="0" w:name="_GoBack"/>
            <w:bookmarkEnd w:id="0"/>
          </w:p>
        </w:tc>
      </w:tr>
      <w:tr w:rsidR="00E14768" w:rsidRPr="00E14768" w:rsidTr="00DC4CB4">
        <w:trPr>
          <w:tblCellSpacing w:w="15" w:type="dxa"/>
        </w:trPr>
        <w:tc>
          <w:tcPr>
            <w:tcW w:w="1530" w:type="dxa"/>
            <w:vAlign w:val="center"/>
            <w:hideMark/>
          </w:tcPr>
          <w:p w:rsidR="00E14768" w:rsidRPr="00E14768" w:rsidRDefault="00E14768" w:rsidP="00E14768">
            <w:pPr>
              <w:spacing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Affiliations</w:t>
            </w:r>
          </w:p>
        </w:tc>
        <w:tc>
          <w:tcPr>
            <w:tcW w:w="7830" w:type="dxa"/>
            <w:vAlign w:val="center"/>
            <w:hideMark/>
          </w:tcPr>
          <w:p w:rsidR="00E14768" w:rsidRDefault="00E14768" w:rsidP="00E14768">
            <w:pPr>
              <w:spacing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xml:space="preserve">1. </w:t>
            </w:r>
            <w:proofErr w:type="spellStart"/>
            <w:r w:rsidRPr="00E14768">
              <w:rPr>
                <w:rFonts w:ascii="Times New Roman" w:eastAsia="Times New Roman" w:hAnsi="Times New Roman" w:cs="Times New Roman"/>
                <w:sz w:val="24"/>
                <w:szCs w:val="24"/>
              </w:rPr>
              <w:t>Universitas</w:t>
            </w:r>
            <w:proofErr w:type="spellEnd"/>
            <w:r w:rsidRPr="00E14768">
              <w:rPr>
                <w:rFonts w:ascii="Times New Roman" w:eastAsia="Times New Roman" w:hAnsi="Times New Roman" w:cs="Times New Roman"/>
                <w:sz w:val="24"/>
                <w:szCs w:val="24"/>
              </w:rPr>
              <w:t xml:space="preserve"> </w:t>
            </w:r>
            <w:proofErr w:type="spellStart"/>
            <w:r w:rsidRPr="00E14768">
              <w:rPr>
                <w:rFonts w:ascii="Times New Roman" w:eastAsia="Times New Roman" w:hAnsi="Times New Roman" w:cs="Times New Roman"/>
                <w:sz w:val="24"/>
                <w:szCs w:val="24"/>
              </w:rPr>
              <w:t>Negeri</w:t>
            </w:r>
            <w:proofErr w:type="spellEnd"/>
            <w:r w:rsidRPr="00E14768">
              <w:rPr>
                <w:rFonts w:ascii="Times New Roman" w:eastAsia="Times New Roman" w:hAnsi="Times New Roman" w:cs="Times New Roman"/>
                <w:sz w:val="24"/>
                <w:szCs w:val="24"/>
              </w:rPr>
              <w:t xml:space="preserve"> Yogyakarta (Yogyakarta - Indonesia</w:t>
            </w:r>
            <w:proofErr w:type="gramStart"/>
            <w:r w:rsidRPr="00E14768">
              <w:rPr>
                <w:rFonts w:ascii="Times New Roman" w:eastAsia="Times New Roman" w:hAnsi="Times New Roman" w:cs="Times New Roman"/>
                <w:sz w:val="24"/>
                <w:szCs w:val="24"/>
              </w:rPr>
              <w:t>)</w:t>
            </w:r>
            <w:proofErr w:type="gramEnd"/>
            <w:r w:rsidRPr="00E14768">
              <w:rPr>
                <w:rFonts w:ascii="Times New Roman" w:eastAsia="Times New Roman" w:hAnsi="Times New Roman" w:cs="Times New Roman"/>
                <w:sz w:val="24"/>
                <w:szCs w:val="24"/>
              </w:rPr>
              <w:br/>
              <w:t xml:space="preserve">2. </w:t>
            </w:r>
            <w:proofErr w:type="spellStart"/>
            <w:r w:rsidRPr="00E14768">
              <w:rPr>
                <w:rFonts w:ascii="Times New Roman" w:eastAsia="Times New Roman" w:hAnsi="Times New Roman" w:cs="Times New Roman"/>
                <w:sz w:val="24"/>
                <w:szCs w:val="24"/>
              </w:rPr>
              <w:t>Universitas</w:t>
            </w:r>
            <w:proofErr w:type="spellEnd"/>
            <w:r w:rsidRPr="00E14768">
              <w:rPr>
                <w:rFonts w:ascii="Times New Roman" w:eastAsia="Times New Roman" w:hAnsi="Times New Roman" w:cs="Times New Roman"/>
                <w:sz w:val="24"/>
                <w:szCs w:val="24"/>
              </w:rPr>
              <w:t xml:space="preserve"> Indonesia (Jakarta - Indonesia</w:t>
            </w:r>
            <w:proofErr w:type="gramStart"/>
            <w:r w:rsidRPr="00E14768">
              <w:rPr>
                <w:rFonts w:ascii="Times New Roman" w:eastAsia="Times New Roman" w:hAnsi="Times New Roman" w:cs="Times New Roman"/>
                <w:sz w:val="24"/>
                <w:szCs w:val="24"/>
              </w:rPr>
              <w:t>)</w:t>
            </w:r>
            <w:proofErr w:type="gramEnd"/>
            <w:r w:rsidRPr="00E14768">
              <w:rPr>
                <w:rFonts w:ascii="Times New Roman" w:eastAsia="Times New Roman" w:hAnsi="Times New Roman" w:cs="Times New Roman"/>
                <w:sz w:val="24"/>
                <w:szCs w:val="24"/>
              </w:rPr>
              <w:br/>
              <w:t xml:space="preserve">3. </w:t>
            </w:r>
            <w:proofErr w:type="spellStart"/>
            <w:r w:rsidRPr="00E14768">
              <w:rPr>
                <w:rFonts w:ascii="Times New Roman" w:eastAsia="Times New Roman" w:hAnsi="Times New Roman" w:cs="Times New Roman"/>
                <w:sz w:val="24"/>
                <w:szCs w:val="24"/>
              </w:rPr>
              <w:t>Universitas</w:t>
            </w:r>
            <w:proofErr w:type="spellEnd"/>
            <w:r w:rsidRPr="00E14768">
              <w:rPr>
                <w:rFonts w:ascii="Times New Roman" w:eastAsia="Times New Roman" w:hAnsi="Times New Roman" w:cs="Times New Roman"/>
                <w:sz w:val="24"/>
                <w:szCs w:val="24"/>
              </w:rPr>
              <w:t xml:space="preserve"> </w:t>
            </w:r>
            <w:proofErr w:type="spellStart"/>
            <w:r w:rsidRPr="00E14768">
              <w:rPr>
                <w:rFonts w:ascii="Times New Roman" w:eastAsia="Times New Roman" w:hAnsi="Times New Roman" w:cs="Times New Roman"/>
                <w:sz w:val="24"/>
                <w:szCs w:val="24"/>
              </w:rPr>
              <w:t>Atmajaya</w:t>
            </w:r>
            <w:proofErr w:type="spellEnd"/>
            <w:r w:rsidRPr="00E14768">
              <w:rPr>
                <w:rFonts w:ascii="Times New Roman" w:eastAsia="Times New Roman" w:hAnsi="Times New Roman" w:cs="Times New Roman"/>
                <w:sz w:val="24"/>
                <w:szCs w:val="24"/>
              </w:rPr>
              <w:t xml:space="preserve"> (Jakarta - Indonesia)</w:t>
            </w:r>
          </w:p>
          <w:p w:rsidR="00F0583D" w:rsidRPr="00E14768" w:rsidRDefault="00F0583D" w:rsidP="00E14768">
            <w:pPr>
              <w:spacing w:after="0" w:line="240" w:lineRule="auto"/>
              <w:rPr>
                <w:rFonts w:ascii="Times New Roman" w:eastAsia="Times New Roman" w:hAnsi="Times New Roman" w:cs="Times New Roman"/>
                <w:sz w:val="24"/>
                <w:szCs w:val="24"/>
              </w:rPr>
            </w:pPr>
          </w:p>
        </w:tc>
      </w:tr>
      <w:tr w:rsidR="00E14768" w:rsidRPr="00E14768" w:rsidTr="00DC4CB4">
        <w:trPr>
          <w:tblCellSpacing w:w="15" w:type="dxa"/>
        </w:trPr>
        <w:tc>
          <w:tcPr>
            <w:tcW w:w="1530" w:type="dxa"/>
            <w:vAlign w:val="center"/>
            <w:hideMark/>
          </w:tcPr>
          <w:p w:rsidR="00E14768" w:rsidRPr="00E14768" w:rsidRDefault="00E14768" w:rsidP="00E14768">
            <w:pPr>
              <w:spacing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TITLE</w:t>
            </w:r>
          </w:p>
        </w:tc>
        <w:tc>
          <w:tcPr>
            <w:tcW w:w="7830" w:type="dxa"/>
            <w:vAlign w:val="center"/>
            <w:hideMark/>
          </w:tcPr>
          <w:p w:rsidR="00E14768" w:rsidRDefault="00E14768" w:rsidP="00E14768">
            <w:pPr>
              <w:spacing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The effect of FIFA 11+ as an injury prevention program in youth futsal players</w:t>
            </w:r>
          </w:p>
          <w:p w:rsidR="00F0583D" w:rsidRPr="00E14768" w:rsidRDefault="00F0583D" w:rsidP="00E14768">
            <w:pPr>
              <w:spacing w:after="0" w:line="240" w:lineRule="auto"/>
              <w:rPr>
                <w:rFonts w:ascii="Times New Roman" w:eastAsia="Times New Roman" w:hAnsi="Times New Roman" w:cs="Times New Roman"/>
                <w:sz w:val="24"/>
                <w:szCs w:val="24"/>
              </w:rPr>
            </w:pPr>
          </w:p>
        </w:tc>
      </w:tr>
      <w:tr w:rsidR="00E14768" w:rsidRPr="00E14768" w:rsidTr="00DC4CB4">
        <w:trPr>
          <w:tblCellSpacing w:w="15" w:type="dxa"/>
        </w:trPr>
        <w:tc>
          <w:tcPr>
            <w:tcW w:w="1530" w:type="dxa"/>
            <w:vAlign w:val="center"/>
            <w:hideMark/>
          </w:tcPr>
          <w:p w:rsidR="00E14768" w:rsidRPr="00E14768" w:rsidRDefault="00E14768" w:rsidP="00E14768">
            <w:pPr>
              <w:spacing w:after="0" w:line="240" w:lineRule="auto"/>
              <w:rPr>
                <w:rFonts w:ascii="Times New Roman" w:eastAsia="Times New Roman" w:hAnsi="Times New Roman" w:cs="Times New Roman"/>
                <w:sz w:val="24"/>
                <w:szCs w:val="24"/>
              </w:rPr>
            </w:pPr>
          </w:p>
        </w:tc>
        <w:tc>
          <w:tcPr>
            <w:tcW w:w="7830" w:type="dxa"/>
            <w:vAlign w:val="center"/>
            <w:hideMark/>
          </w:tcPr>
          <w:p w:rsidR="00E14768" w:rsidRPr="00E14768" w:rsidRDefault="00E14768" w:rsidP="00E14768">
            <w:pPr>
              <w:spacing w:before="100" w:beforeAutospacing="1" w:after="100" w:afterAutospacing="1"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Background:</w:t>
            </w:r>
            <w:r w:rsidRPr="00E14768">
              <w:rPr>
                <w:rFonts w:ascii="Times New Roman" w:eastAsia="Times New Roman" w:hAnsi="Times New Roman" w:cs="Times New Roman"/>
                <w:sz w:val="24"/>
                <w:szCs w:val="24"/>
              </w:rPr>
              <w:t xml:space="preserve"> Futsal is a high risk sport, especially in youth level. But none has studied the application of </w:t>
            </w:r>
            <w:r w:rsidRPr="00E14768">
              <w:rPr>
                <w:rFonts w:ascii="Times New Roman" w:eastAsia="Times New Roman" w:hAnsi="Times New Roman" w:cs="Times New Roman"/>
                <w:i/>
                <w:iCs/>
                <w:sz w:val="24"/>
                <w:szCs w:val="24"/>
              </w:rPr>
              <w:t>FIFA 11+</w:t>
            </w:r>
            <w:r w:rsidRPr="00E14768">
              <w:rPr>
                <w:rFonts w:ascii="Times New Roman" w:eastAsia="Times New Roman" w:hAnsi="Times New Roman" w:cs="Times New Roman"/>
                <w:sz w:val="24"/>
                <w:szCs w:val="24"/>
              </w:rPr>
              <w:t>, the football injury prevention program among youth futsal players in Indonesia.</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Objective:</w:t>
            </w:r>
            <w:r w:rsidRPr="00E14768">
              <w:rPr>
                <w:rFonts w:ascii="Times New Roman" w:eastAsia="Times New Roman" w:hAnsi="Times New Roman" w:cs="Times New Roman"/>
                <w:sz w:val="24"/>
                <w:szCs w:val="24"/>
              </w:rPr>
              <w:t xml:space="preserve"> To determine the effectiveness of </w:t>
            </w:r>
            <w:r w:rsidRPr="00E14768">
              <w:rPr>
                <w:rFonts w:ascii="Times New Roman" w:eastAsia="Times New Roman" w:hAnsi="Times New Roman" w:cs="Times New Roman"/>
                <w:i/>
                <w:iCs/>
                <w:sz w:val="24"/>
                <w:szCs w:val="24"/>
              </w:rPr>
              <w:t>FIFA 11+</w:t>
            </w:r>
            <w:r w:rsidRPr="00E14768">
              <w:rPr>
                <w:rFonts w:ascii="Times New Roman" w:eastAsia="Times New Roman" w:hAnsi="Times New Roman" w:cs="Times New Roman"/>
                <w:sz w:val="24"/>
                <w:szCs w:val="24"/>
              </w:rPr>
              <w:t xml:space="preserve"> in improving physical fitness components affecting injury risks among youth futsal players.</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Design:</w:t>
            </w:r>
            <w:r w:rsidRPr="00E14768">
              <w:rPr>
                <w:rFonts w:ascii="Times New Roman" w:eastAsia="Times New Roman" w:hAnsi="Times New Roman" w:cs="Times New Roman"/>
                <w:sz w:val="24"/>
                <w:szCs w:val="24"/>
              </w:rPr>
              <w:t xml:space="preserve"> This experimental study was recruiting two groups of youth futsal players by doing purposive / judgmental random sampling to the senior high school futsal teams in Yogyakarta, Indonesia.</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Setting:</w:t>
            </w:r>
            <w:r w:rsidRPr="00E14768">
              <w:rPr>
                <w:rFonts w:ascii="Times New Roman" w:eastAsia="Times New Roman" w:hAnsi="Times New Roman" w:cs="Times New Roman"/>
                <w:sz w:val="24"/>
                <w:szCs w:val="24"/>
              </w:rPr>
              <w:t xml:space="preserve"> High school futsal league.</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Patients (or Participants):</w:t>
            </w:r>
            <w:r w:rsidRPr="00E14768">
              <w:rPr>
                <w:rFonts w:ascii="Times New Roman" w:eastAsia="Times New Roman" w:hAnsi="Times New Roman" w:cs="Times New Roman"/>
                <w:sz w:val="24"/>
                <w:szCs w:val="24"/>
              </w:rPr>
              <w:t xml:space="preserve"> The subjects were high school students participating in the school futsal team. From the total of 28 subjects (15 subjects in the experiment group and 13 in control group), 8 subjects were dropping out, leaving 9 subjects in the experiment group and 11 in the control group for the final analysis.</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Interventions (or Assessment of Risk Factors):</w:t>
            </w:r>
            <w:r w:rsidRPr="00E14768">
              <w:rPr>
                <w:rFonts w:ascii="Times New Roman" w:eastAsia="Times New Roman" w:hAnsi="Times New Roman" w:cs="Times New Roman"/>
                <w:sz w:val="24"/>
                <w:szCs w:val="24"/>
              </w:rPr>
              <w:t xml:space="preserve"> The experiment (EXP) group underwent </w:t>
            </w:r>
            <w:r w:rsidRPr="00E14768">
              <w:rPr>
                <w:rFonts w:ascii="Times New Roman" w:eastAsia="Times New Roman" w:hAnsi="Times New Roman" w:cs="Times New Roman"/>
                <w:i/>
                <w:iCs/>
                <w:sz w:val="24"/>
                <w:szCs w:val="24"/>
              </w:rPr>
              <w:t>FIFA 11+</w:t>
            </w:r>
            <w:r w:rsidRPr="00E14768">
              <w:rPr>
                <w:rFonts w:ascii="Times New Roman" w:eastAsia="Times New Roman" w:hAnsi="Times New Roman" w:cs="Times New Roman"/>
                <w:sz w:val="24"/>
                <w:szCs w:val="24"/>
              </w:rPr>
              <w:t xml:space="preserve"> training twice per week for four weeks while the control (CON) group </w:t>
            </w:r>
            <w:r w:rsidRPr="00E14768">
              <w:rPr>
                <w:rFonts w:ascii="Times New Roman" w:eastAsia="Times New Roman" w:hAnsi="Times New Roman" w:cs="Times New Roman"/>
                <w:color w:val="000000"/>
                <w:sz w:val="24"/>
                <w:szCs w:val="24"/>
              </w:rPr>
              <w:t>underwent</w:t>
            </w:r>
            <w:r w:rsidRPr="00E14768">
              <w:rPr>
                <w:rFonts w:ascii="Times New Roman" w:eastAsia="Times New Roman" w:hAnsi="Times New Roman" w:cs="Times New Roman"/>
                <w:sz w:val="24"/>
                <w:szCs w:val="24"/>
              </w:rPr>
              <w:t xml:space="preserve"> routine futsal training. Both groups performed physical fitness tests before and after the intervention. Changes in performance (pre- vs. post-intervention) for each group were analyzed using dependent t-test (p &lt; 0.05). </w:t>
            </w:r>
            <w:proofErr w:type="gramStart"/>
            <w:r w:rsidRPr="00E14768">
              <w:rPr>
                <w:rFonts w:ascii="Times New Roman" w:eastAsia="Times New Roman" w:hAnsi="Times New Roman" w:cs="Times New Roman"/>
                <w:sz w:val="24"/>
                <w:szCs w:val="24"/>
              </w:rPr>
              <w:t>Change in performance of each group were</w:t>
            </w:r>
            <w:proofErr w:type="gramEnd"/>
            <w:r w:rsidRPr="00E14768">
              <w:rPr>
                <w:rFonts w:ascii="Times New Roman" w:eastAsia="Times New Roman" w:hAnsi="Times New Roman" w:cs="Times New Roman"/>
                <w:sz w:val="24"/>
                <w:szCs w:val="24"/>
              </w:rPr>
              <w:t xml:space="preserve"> compared using independent </w:t>
            </w:r>
            <w:r w:rsidRPr="00E14768">
              <w:rPr>
                <w:rFonts w:ascii="Times New Roman" w:eastAsia="Times New Roman" w:hAnsi="Times New Roman" w:cs="Times New Roman"/>
                <w:sz w:val="24"/>
                <w:szCs w:val="24"/>
              </w:rPr>
              <w:lastRenderedPageBreak/>
              <w:t>t-test (p &lt; 0.05).</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Main Outcome Measurements:</w:t>
            </w:r>
            <w:r w:rsidRPr="00E14768">
              <w:rPr>
                <w:rFonts w:ascii="Times New Roman" w:eastAsia="Times New Roman" w:hAnsi="Times New Roman" w:cs="Times New Roman"/>
                <w:sz w:val="24"/>
                <w:szCs w:val="24"/>
              </w:rPr>
              <w:t xml:space="preserve"> Core strength (evaluated using plank test), leg power (vertical jump test) and agility (Illinois agility test).</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Results:</w:t>
            </w:r>
            <w:r w:rsidRPr="00E14768">
              <w:rPr>
                <w:rFonts w:ascii="Times New Roman" w:eastAsia="Times New Roman" w:hAnsi="Times New Roman" w:cs="Times New Roman"/>
                <w:sz w:val="24"/>
                <w:szCs w:val="24"/>
              </w:rPr>
              <w:t xml:space="preserve"> The core strength (</w:t>
            </w:r>
            <w:r w:rsidRPr="00E14768">
              <w:rPr>
                <w:rFonts w:ascii="Times New Roman" w:eastAsia="Times New Roman" w:hAnsi="Times New Roman" w:cs="Times New Roman"/>
                <w:i/>
                <w:iCs/>
                <w:sz w:val="24"/>
                <w:szCs w:val="24"/>
              </w:rPr>
              <w:t>p</w:t>
            </w:r>
            <w:r w:rsidRPr="00E14768">
              <w:rPr>
                <w:rFonts w:ascii="Times New Roman" w:eastAsia="Times New Roman" w:hAnsi="Times New Roman" w:cs="Times New Roman"/>
                <w:sz w:val="24"/>
                <w:szCs w:val="24"/>
              </w:rPr>
              <w:t xml:space="preserve"> = 0.007) and agility (</w:t>
            </w:r>
            <w:r w:rsidRPr="00E14768">
              <w:rPr>
                <w:rFonts w:ascii="Times New Roman" w:eastAsia="Times New Roman" w:hAnsi="Times New Roman" w:cs="Times New Roman"/>
                <w:i/>
                <w:iCs/>
                <w:sz w:val="24"/>
                <w:szCs w:val="24"/>
              </w:rPr>
              <w:t>p</w:t>
            </w:r>
            <w:r w:rsidRPr="00E14768">
              <w:rPr>
                <w:rFonts w:ascii="Times New Roman" w:eastAsia="Times New Roman" w:hAnsi="Times New Roman" w:cs="Times New Roman"/>
                <w:sz w:val="24"/>
                <w:szCs w:val="24"/>
              </w:rPr>
              <w:t xml:space="preserve"> = 0.01) of the EXP group increased significantly, while no change were observed in the CON group. The increase of agility in EXP group was found to be significantly different compared to the one in CON group (</w:t>
            </w:r>
            <w:r w:rsidRPr="00E14768">
              <w:rPr>
                <w:rFonts w:ascii="Times New Roman" w:eastAsia="Times New Roman" w:hAnsi="Times New Roman" w:cs="Times New Roman"/>
                <w:i/>
                <w:iCs/>
                <w:sz w:val="24"/>
                <w:szCs w:val="24"/>
              </w:rPr>
              <w:t>p</w:t>
            </w:r>
            <w:r w:rsidRPr="00E14768">
              <w:rPr>
                <w:rFonts w:ascii="Times New Roman" w:eastAsia="Times New Roman" w:hAnsi="Times New Roman" w:cs="Times New Roman"/>
                <w:sz w:val="24"/>
                <w:szCs w:val="24"/>
              </w:rPr>
              <w:t xml:space="preserve"> = 0.039).</w:t>
            </w: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sz w:val="24"/>
                <w:szCs w:val="24"/>
              </w:rPr>
              <w:t> </w:t>
            </w:r>
          </w:p>
          <w:p w:rsid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b/>
                <w:bCs/>
                <w:sz w:val="24"/>
                <w:szCs w:val="24"/>
              </w:rPr>
              <w:t>Conclusions:</w:t>
            </w:r>
            <w:r w:rsidRPr="00E14768">
              <w:rPr>
                <w:rFonts w:ascii="Times New Roman" w:eastAsia="Times New Roman" w:hAnsi="Times New Roman" w:cs="Times New Roman"/>
                <w:sz w:val="24"/>
                <w:szCs w:val="24"/>
              </w:rPr>
              <w:t xml:space="preserve"> </w:t>
            </w:r>
            <w:r w:rsidRPr="00E14768">
              <w:rPr>
                <w:rFonts w:ascii="Times New Roman" w:eastAsia="Times New Roman" w:hAnsi="Times New Roman" w:cs="Times New Roman"/>
                <w:i/>
                <w:iCs/>
                <w:sz w:val="24"/>
                <w:szCs w:val="24"/>
              </w:rPr>
              <w:t>FIFA 11+</w:t>
            </w:r>
            <w:r w:rsidRPr="00E14768">
              <w:rPr>
                <w:rFonts w:ascii="Times New Roman" w:eastAsia="Times New Roman" w:hAnsi="Times New Roman" w:cs="Times New Roman"/>
                <w:sz w:val="24"/>
                <w:szCs w:val="24"/>
              </w:rPr>
              <w:t xml:space="preserve"> can improve certain physical fitness components that contribute in preventing injury. Thus it is recommended to add </w:t>
            </w:r>
            <w:r w:rsidRPr="00E14768">
              <w:rPr>
                <w:rFonts w:ascii="Times New Roman" w:eastAsia="Times New Roman" w:hAnsi="Times New Roman" w:cs="Times New Roman"/>
                <w:i/>
                <w:iCs/>
                <w:sz w:val="24"/>
                <w:szCs w:val="24"/>
              </w:rPr>
              <w:t>FIFA 11+</w:t>
            </w:r>
            <w:r w:rsidRPr="00E14768">
              <w:rPr>
                <w:rFonts w:ascii="Times New Roman" w:eastAsia="Times New Roman" w:hAnsi="Times New Roman" w:cs="Times New Roman"/>
                <w:sz w:val="24"/>
                <w:szCs w:val="24"/>
              </w:rPr>
              <w:t xml:space="preserve"> to the routine futsal training as an injury prevention program.</w:t>
            </w:r>
          </w:p>
          <w:p w:rsidR="00F0583D" w:rsidRPr="00F0583D" w:rsidRDefault="00F0583D" w:rsidP="00E14768">
            <w:pPr>
              <w:spacing w:before="100" w:beforeAutospacing="1" w:after="0" w:line="240" w:lineRule="auto"/>
              <w:rPr>
                <w:rFonts w:ascii="Times New Roman" w:eastAsia="Times New Roman" w:hAnsi="Times New Roman" w:cs="Times New Roman"/>
                <w:b/>
                <w:sz w:val="24"/>
                <w:szCs w:val="24"/>
              </w:rPr>
            </w:pPr>
            <w:r w:rsidRPr="00F0583D">
              <w:rPr>
                <w:rFonts w:ascii="Times New Roman" w:eastAsia="Times New Roman" w:hAnsi="Times New Roman" w:cs="Times New Roman"/>
                <w:b/>
                <w:sz w:val="24"/>
                <w:szCs w:val="24"/>
              </w:rPr>
              <w:t>RESULT TABLE :</w:t>
            </w:r>
          </w:p>
          <w:p w:rsidR="00F0583D" w:rsidRDefault="00F0583D" w:rsidP="00E14768">
            <w:pPr>
              <w:spacing w:before="100" w:beforeAutospacing="1" w:after="0" w:line="240" w:lineRule="auto"/>
              <w:rPr>
                <w:rFonts w:ascii="Times New Roman" w:eastAsia="Times New Roman" w:hAnsi="Times New Roman" w:cs="Times New Roman"/>
                <w:sz w:val="24"/>
                <w:szCs w:val="24"/>
              </w:rPr>
            </w:pPr>
          </w:p>
          <w:tbl>
            <w:tblPr>
              <w:tblpPr w:leftFromText="180" w:rightFromText="180" w:vertAnchor="text" w:horzAnchor="margin" w:tblpY="206"/>
              <w:tblW w:w="0" w:type="auto"/>
              <w:tblBorders>
                <w:top w:val="single" w:sz="8" w:space="0" w:color="000000"/>
                <w:bottom w:val="single" w:sz="8" w:space="0" w:color="000000"/>
              </w:tblBorders>
              <w:tblLayout w:type="fixed"/>
              <w:tblLook w:val="04A0" w:firstRow="1" w:lastRow="0" w:firstColumn="1" w:lastColumn="0" w:noHBand="0" w:noVBand="1"/>
            </w:tblPr>
            <w:tblGrid>
              <w:gridCol w:w="2410"/>
              <w:gridCol w:w="2552"/>
              <w:gridCol w:w="2409"/>
              <w:gridCol w:w="711"/>
            </w:tblGrid>
            <w:tr w:rsidR="00F0583D" w:rsidRPr="00FB097A" w:rsidTr="00DC4CB4">
              <w:tc>
                <w:tcPr>
                  <w:tcW w:w="2410" w:type="dxa"/>
                  <w:tcBorders>
                    <w:top w:val="single" w:sz="8" w:space="0" w:color="000000"/>
                    <w:left w:val="nil"/>
                    <w:bottom w:val="single" w:sz="8" w:space="0" w:color="000000"/>
                    <w:right w:val="nil"/>
                  </w:tcBorders>
                  <w:shd w:val="clear" w:color="auto" w:fill="auto"/>
                </w:tcPr>
                <w:p w:rsidR="00F0583D" w:rsidRPr="00E336F8" w:rsidRDefault="00F0583D" w:rsidP="00F0583D">
                  <w:pPr>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Characteristics</w:t>
                  </w:r>
                </w:p>
              </w:tc>
              <w:tc>
                <w:tcPr>
                  <w:tcW w:w="2552" w:type="dxa"/>
                  <w:tcBorders>
                    <w:top w:val="single" w:sz="8" w:space="0" w:color="000000"/>
                    <w:left w:val="nil"/>
                    <w:bottom w:val="single" w:sz="8" w:space="0" w:color="000000"/>
                    <w:right w:val="nil"/>
                  </w:tcBorders>
                  <w:shd w:val="clear" w:color="auto" w:fill="auto"/>
                </w:tcPr>
                <w:p w:rsidR="00F0583D" w:rsidRPr="00E336F8" w:rsidRDefault="00F0583D" w:rsidP="00F0583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Experiment</w:t>
                  </w:r>
                </w:p>
              </w:tc>
              <w:tc>
                <w:tcPr>
                  <w:tcW w:w="2409" w:type="dxa"/>
                  <w:tcBorders>
                    <w:top w:val="single" w:sz="8" w:space="0" w:color="000000"/>
                    <w:left w:val="nil"/>
                    <w:bottom w:val="single" w:sz="8" w:space="0" w:color="000000"/>
                    <w:right w:val="nil"/>
                  </w:tcBorders>
                  <w:shd w:val="clear" w:color="auto" w:fill="auto"/>
                </w:tcPr>
                <w:p w:rsidR="00F0583D" w:rsidRPr="00E336F8" w:rsidRDefault="00F0583D" w:rsidP="00F0583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Control</w:t>
                  </w:r>
                </w:p>
              </w:tc>
              <w:tc>
                <w:tcPr>
                  <w:tcW w:w="711" w:type="dxa"/>
                  <w:tcBorders>
                    <w:top w:val="single" w:sz="8" w:space="0" w:color="000000"/>
                    <w:left w:val="nil"/>
                    <w:bottom w:val="single" w:sz="8" w:space="0" w:color="000000"/>
                    <w:right w:val="nil"/>
                  </w:tcBorders>
                  <w:shd w:val="clear" w:color="auto" w:fill="auto"/>
                </w:tcPr>
                <w:p w:rsidR="00F0583D" w:rsidRPr="00E336F8" w:rsidRDefault="00F0583D" w:rsidP="00F0583D">
                  <w:pPr>
                    <w:spacing w:after="0" w:line="360" w:lineRule="auto"/>
                    <w:jc w:val="both"/>
                    <w:rPr>
                      <w:rFonts w:ascii="Times New Roman" w:hAnsi="Times New Roman" w:cs="Times New Roman"/>
                      <w:b/>
                      <w:bCs/>
                      <w:i/>
                      <w:color w:val="000000"/>
                    </w:rPr>
                  </w:pPr>
                  <w:r>
                    <w:rPr>
                      <w:rFonts w:ascii="Times New Roman" w:hAnsi="Times New Roman" w:cs="Times New Roman"/>
                      <w:b/>
                      <w:bCs/>
                      <w:i/>
                      <w:color w:val="000000"/>
                    </w:rPr>
                    <w:t>p</w:t>
                  </w:r>
                </w:p>
              </w:tc>
            </w:tr>
            <w:tr w:rsidR="00F0583D" w:rsidRPr="00FB097A" w:rsidTr="00DC4CB4">
              <w:tc>
                <w:tcPr>
                  <w:tcW w:w="2410" w:type="dxa"/>
                  <w:tcBorders>
                    <w:left w:val="nil"/>
                    <w:right w:val="nil"/>
                  </w:tcBorders>
                  <w:shd w:val="clear" w:color="auto" w:fill="auto"/>
                </w:tcPr>
                <w:p w:rsidR="00F0583D" w:rsidRPr="00E336F8" w:rsidRDefault="00F0583D" w:rsidP="00F0583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Age</w:t>
                  </w:r>
                  <w:r w:rsidRPr="00FB097A">
                    <w:rPr>
                      <w:rFonts w:ascii="Times New Roman" w:hAnsi="Times New Roman" w:cs="Times New Roman"/>
                      <w:b/>
                      <w:bCs/>
                      <w:color w:val="000000"/>
                    </w:rPr>
                    <w:t xml:space="preserve"> </w:t>
                  </w:r>
                  <w:r>
                    <w:rPr>
                      <w:rFonts w:ascii="Times New Roman" w:hAnsi="Times New Roman" w:cs="Times New Roman"/>
                      <w:b/>
                      <w:bCs/>
                      <w:color w:val="000000"/>
                    </w:rPr>
                    <w:t>(year</w:t>
                  </w:r>
                  <w:r w:rsidRPr="00FB097A">
                    <w:rPr>
                      <w:rFonts w:ascii="Times New Roman" w:hAnsi="Times New Roman" w:cs="Times New Roman"/>
                      <w:b/>
                      <w:bCs/>
                      <w:color w:val="000000"/>
                    </w:rPr>
                    <w:t>)</w:t>
                  </w:r>
                </w:p>
              </w:tc>
              <w:tc>
                <w:tcPr>
                  <w:tcW w:w="2552" w:type="dxa"/>
                  <w:tcBorders>
                    <w:left w:val="nil"/>
                    <w:right w:val="nil"/>
                  </w:tcBorders>
                  <w:shd w:val="clear" w:color="auto" w:fill="auto"/>
                </w:tcPr>
                <w:p w:rsidR="00F0583D" w:rsidRPr="00FB097A" w:rsidRDefault="00F0583D" w:rsidP="00F0583D">
                  <w:pPr>
                    <w:spacing w:after="0" w:line="360" w:lineRule="auto"/>
                    <w:jc w:val="both"/>
                    <w:rPr>
                      <w:rFonts w:ascii="Times New Roman" w:hAnsi="Times New Roman" w:cs="Times New Roman"/>
                      <w:color w:val="000000"/>
                    </w:rPr>
                  </w:pPr>
                  <w:r w:rsidRPr="00FB097A">
                    <w:rPr>
                      <w:rFonts w:ascii="Times New Roman" w:hAnsi="Times New Roman" w:cs="Times New Roman"/>
                      <w:color w:val="000000"/>
                    </w:rPr>
                    <w:t>16 (15-16)</w:t>
                  </w:r>
                </w:p>
              </w:tc>
              <w:tc>
                <w:tcPr>
                  <w:tcW w:w="2409" w:type="dxa"/>
                  <w:tcBorders>
                    <w:left w:val="nil"/>
                    <w:right w:val="nil"/>
                  </w:tcBorders>
                  <w:shd w:val="clear" w:color="auto" w:fill="auto"/>
                </w:tcPr>
                <w:p w:rsidR="00F0583D" w:rsidRPr="00FB097A" w:rsidRDefault="00F0583D" w:rsidP="00F0583D">
                  <w:pPr>
                    <w:spacing w:after="0" w:line="360" w:lineRule="auto"/>
                    <w:jc w:val="both"/>
                    <w:rPr>
                      <w:rFonts w:ascii="Times New Roman" w:hAnsi="Times New Roman" w:cs="Times New Roman"/>
                      <w:color w:val="000000"/>
                    </w:rPr>
                  </w:pPr>
                  <w:r w:rsidRPr="00FB097A">
                    <w:rPr>
                      <w:rFonts w:ascii="Times New Roman" w:hAnsi="Times New Roman" w:cs="Times New Roman"/>
                      <w:color w:val="000000"/>
                    </w:rPr>
                    <w:t>17 (15-18)</w:t>
                  </w:r>
                </w:p>
              </w:tc>
              <w:tc>
                <w:tcPr>
                  <w:tcW w:w="711" w:type="dxa"/>
                  <w:tcBorders>
                    <w:left w:val="nil"/>
                    <w:right w:val="nil"/>
                  </w:tcBorders>
                  <w:shd w:val="clear" w:color="auto" w:fill="auto"/>
                </w:tcPr>
                <w:p w:rsidR="00F0583D" w:rsidRPr="00E336F8" w:rsidRDefault="00F0583D" w:rsidP="00F0583D">
                  <w:pPr>
                    <w:spacing w:after="0" w:line="360" w:lineRule="auto"/>
                    <w:jc w:val="both"/>
                    <w:rPr>
                      <w:rFonts w:ascii="Times New Roman" w:hAnsi="Times New Roman" w:cs="Times New Roman"/>
                      <w:color w:val="000000"/>
                    </w:rPr>
                  </w:pPr>
                  <w:r>
                    <w:rPr>
                      <w:rFonts w:ascii="Times New Roman" w:hAnsi="Times New Roman" w:cs="Times New Roman"/>
                      <w:color w:val="000000"/>
                    </w:rPr>
                    <w:t>0.02</w:t>
                  </w:r>
                </w:p>
              </w:tc>
            </w:tr>
            <w:tr w:rsidR="00F0583D" w:rsidRPr="00FB097A" w:rsidTr="00DC4CB4">
              <w:tc>
                <w:tcPr>
                  <w:tcW w:w="2410" w:type="dxa"/>
                  <w:shd w:val="clear" w:color="auto" w:fill="auto"/>
                </w:tcPr>
                <w:p w:rsidR="00F0583D" w:rsidRPr="00FB097A" w:rsidRDefault="00F0583D" w:rsidP="00F0583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BMI</w:t>
                  </w:r>
                  <w:r w:rsidRPr="00870AC9">
                    <w:rPr>
                      <w:rFonts w:ascii="Times New Roman" w:hAnsi="Times New Roman" w:cs="Times New Roman"/>
                      <w:b/>
                      <w:bCs/>
                      <w:color w:val="000000"/>
                    </w:rPr>
                    <w:t xml:space="preserve"> (kg/m</w:t>
                  </w:r>
                  <w:r w:rsidRPr="00870AC9">
                    <w:rPr>
                      <w:rFonts w:ascii="Times New Roman" w:hAnsi="Times New Roman" w:cs="Times New Roman"/>
                      <w:b/>
                      <w:bCs/>
                      <w:color w:val="000000"/>
                      <w:vertAlign w:val="superscript"/>
                    </w:rPr>
                    <w:t>2</w:t>
                  </w:r>
                  <w:r w:rsidRPr="00870AC9">
                    <w:rPr>
                      <w:rFonts w:ascii="Times New Roman" w:hAnsi="Times New Roman" w:cs="Times New Roman"/>
                      <w:b/>
                      <w:bCs/>
                      <w:color w:val="000000"/>
                    </w:rPr>
                    <w:t>)</w:t>
                  </w:r>
                </w:p>
              </w:tc>
              <w:tc>
                <w:tcPr>
                  <w:tcW w:w="2552" w:type="dxa"/>
                  <w:shd w:val="clear" w:color="auto" w:fill="auto"/>
                </w:tcPr>
                <w:p w:rsidR="00F0583D" w:rsidRPr="00FB097A" w:rsidRDefault="00F0583D" w:rsidP="00F0583D">
                  <w:pPr>
                    <w:spacing w:after="0" w:line="360" w:lineRule="auto"/>
                    <w:jc w:val="both"/>
                    <w:rPr>
                      <w:rFonts w:ascii="Times New Roman" w:hAnsi="Times New Roman" w:cs="Times New Roman"/>
                      <w:color w:val="000000"/>
                    </w:rPr>
                  </w:pPr>
                  <w:r>
                    <w:rPr>
                      <w:rFonts w:ascii="Times New Roman" w:hAnsi="Times New Roman" w:cs="Times New Roman"/>
                      <w:color w:val="000000"/>
                    </w:rPr>
                    <w:t>19.</w:t>
                  </w:r>
                  <w:r w:rsidRPr="00FB097A">
                    <w:rPr>
                      <w:rFonts w:ascii="Times New Roman" w:hAnsi="Times New Roman" w:cs="Times New Roman"/>
                      <w:color w:val="000000"/>
                    </w:rPr>
                    <w:t xml:space="preserve">73 </w:t>
                  </w:r>
                  <w:r w:rsidRPr="00FB097A">
                    <w:rPr>
                      <w:rFonts w:ascii="Times New Roman" w:hAnsi="Times New Roman" w:cs="Times New Roman"/>
                      <w:color w:val="000000"/>
                      <w:u w:val="single"/>
                    </w:rPr>
                    <w:t>+</w:t>
                  </w:r>
                  <w:r w:rsidRPr="00FB097A">
                    <w:rPr>
                      <w:rFonts w:ascii="Times New Roman" w:hAnsi="Times New Roman" w:cs="Times New Roman"/>
                      <w:color w:val="000000"/>
                    </w:rPr>
                    <w:t xml:space="preserve"> 2,44</w:t>
                  </w:r>
                </w:p>
              </w:tc>
              <w:tc>
                <w:tcPr>
                  <w:tcW w:w="2409" w:type="dxa"/>
                  <w:shd w:val="clear" w:color="auto" w:fill="auto"/>
                </w:tcPr>
                <w:p w:rsidR="00F0583D" w:rsidRPr="00FB097A" w:rsidRDefault="00F0583D" w:rsidP="00F0583D">
                  <w:pPr>
                    <w:spacing w:after="0" w:line="360" w:lineRule="auto"/>
                    <w:jc w:val="both"/>
                    <w:rPr>
                      <w:rFonts w:ascii="Times New Roman" w:hAnsi="Times New Roman" w:cs="Times New Roman"/>
                      <w:color w:val="000000"/>
                    </w:rPr>
                  </w:pPr>
                  <w:r>
                    <w:rPr>
                      <w:rFonts w:ascii="Times New Roman" w:hAnsi="Times New Roman" w:cs="Times New Roman"/>
                      <w:color w:val="000000"/>
                    </w:rPr>
                    <w:t>21.</w:t>
                  </w:r>
                  <w:r w:rsidRPr="00FB097A">
                    <w:rPr>
                      <w:rFonts w:ascii="Times New Roman" w:hAnsi="Times New Roman" w:cs="Times New Roman"/>
                      <w:color w:val="000000"/>
                    </w:rPr>
                    <w:t xml:space="preserve">08 </w:t>
                  </w:r>
                  <w:r w:rsidRPr="00FB097A">
                    <w:rPr>
                      <w:rFonts w:ascii="Times New Roman" w:hAnsi="Times New Roman" w:cs="Times New Roman"/>
                      <w:color w:val="000000"/>
                      <w:u w:val="single"/>
                    </w:rPr>
                    <w:t>+</w:t>
                  </w:r>
                  <w:r w:rsidRPr="00FB097A">
                    <w:rPr>
                      <w:rFonts w:ascii="Times New Roman" w:hAnsi="Times New Roman" w:cs="Times New Roman"/>
                      <w:color w:val="000000"/>
                    </w:rPr>
                    <w:t xml:space="preserve"> 2,04</w:t>
                  </w:r>
                </w:p>
              </w:tc>
              <w:tc>
                <w:tcPr>
                  <w:tcW w:w="711" w:type="dxa"/>
                  <w:shd w:val="clear" w:color="auto" w:fill="auto"/>
                </w:tcPr>
                <w:p w:rsidR="00F0583D" w:rsidRPr="00E336F8" w:rsidRDefault="00F0583D" w:rsidP="00F0583D">
                  <w:pPr>
                    <w:spacing w:after="0" w:line="360" w:lineRule="auto"/>
                    <w:jc w:val="both"/>
                    <w:rPr>
                      <w:rFonts w:ascii="Times New Roman" w:hAnsi="Times New Roman" w:cs="Times New Roman"/>
                      <w:color w:val="000000"/>
                    </w:rPr>
                  </w:pPr>
                  <w:r>
                    <w:rPr>
                      <w:rFonts w:ascii="Times New Roman" w:hAnsi="Times New Roman" w:cs="Times New Roman"/>
                      <w:color w:val="000000"/>
                    </w:rPr>
                    <w:t>0.195</w:t>
                  </w:r>
                </w:p>
              </w:tc>
            </w:tr>
          </w:tbl>
          <w:p w:rsidR="00F0583D" w:rsidRDefault="00F0583D" w:rsidP="00E14768">
            <w:pPr>
              <w:spacing w:before="100" w:beforeAutospacing="1" w:after="0" w:line="240" w:lineRule="auto"/>
              <w:rPr>
                <w:rFonts w:ascii="Times New Roman" w:eastAsia="Times New Roman" w:hAnsi="Times New Roman" w:cs="Times New Roman"/>
                <w:sz w:val="24"/>
                <w:szCs w:val="24"/>
              </w:rPr>
            </w:pPr>
          </w:p>
          <w:p w:rsidR="00F0583D" w:rsidRDefault="00F0583D" w:rsidP="00E14768">
            <w:pPr>
              <w:spacing w:before="100" w:beforeAutospacing="1" w:after="0" w:line="240" w:lineRule="auto"/>
              <w:rPr>
                <w:rFonts w:ascii="Times New Roman" w:eastAsia="Times New Roman" w:hAnsi="Times New Roman" w:cs="Times New Roman"/>
                <w:sz w:val="24"/>
                <w:szCs w:val="24"/>
              </w:rPr>
            </w:pPr>
          </w:p>
          <w:tbl>
            <w:tblPr>
              <w:tblW w:w="0" w:type="auto"/>
              <w:tblBorders>
                <w:top w:val="single" w:sz="8" w:space="0" w:color="000000"/>
                <w:bottom w:val="single" w:sz="8" w:space="0" w:color="000000"/>
              </w:tblBorders>
              <w:tblLayout w:type="fixed"/>
              <w:tblLook w:val="04A0" w:firstRow="1" w:lastRow="0" w:firstColumn="1" w:lastColumn="0" w:noHBand="0" w:noVBand="1"/>
            </w:tblPr>
            <w:tblGrid>
              <w:gridCol w:w="2717"/>
              <w:gridCol w:w="2717"/>
              <w:gridCol w:w="2717"/>
            </w:tblGrid>
            <w:tr w:rsidR="00F0583D" w:rsidRPr="00233786" w:rsidTr="00DC4CB4">
              <w:tc>
                <w:tcPr>
                  <w:tcW w:w="2717" w:type="dxa"/>
                  <w:vMerge w:val="restart"/>
                  <w:tcBorders>
                    <w:top w:val="single" w:sz="8" w:space="0" w:color="000000"/>
                    <w:left w:val="nil"/>
                    <w:bottom w:val="single" w:sz="4" w:space="0" w:color="auto"/>
                    <w:right w:val="nil"/>
                  </w:tcBorders>
                  <w:shd w:val="clear" w:color="auto" w:fill="auto"/>
                  <w:vAlign w:val="center"/>
                </w:tcPr>
                <w:p w:rsidR="00F0583D" w:rsidRPr="00E336F8" w:rsidRDefault="00F0583D" w:rsidP="00701A5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Group</w:t>
                  </w:r>
                </w:p>
              </w:tc>
              <w:tc>
                <w:tcPr>
                  <w:tcW w:w="5434" w:type="dxa"/>
                  <w:gridSpan w:val="2"/>
                  <w:tcBorders>
                    <w:top w:val="single" w:sz="8" w:space="0" w:color="000000"/>
                    <w:left w:val="nil"/>
                    <w:bottom w:val="single" w:sz="4" w:space="0" w:color="auto"/>
                    <w:right w:val="nil"/>
                  </w:tcBorders>
                  <w:shd w:val="clear" w:color="auto" w:fill="auto"/>
                </w:tcPr>
                <w:p w:rsidR="00F0583D" w:rsidRPr="00233786" w:rsidRDefault="00F0583D" w:rsidP="00701A5D">
                  <w:pPr>
                    <w:spacing w:after="0" w:line="360" w:lineRule="auto"/>
                    <w:jc w:val="center"/>
                    <w:rPr>
                      <w:rFonts w:ascii="Times New Roman" w:hAnsi="Times New Roman" w:cs="Times New Roman"/>
                      <w:b/>
                      <w:bCs/>
                      <w:i/>
                      <w:color w:val="000000"/>
                    </w:rPr>
                  </w:pPr>
                  <w:r w:rsidRPr="002B481B">
                    <w:rPr>
                      <w:rFonts w:ascii="Times New Roman" w:hAnsi="Times New Roman" w:cs="Times New Roman"/>
                      <w:b/>
                      <w:bCs/>
                      <w:color w:val="000000"/>
                    </w:rPr>
                    <w:t>Tanner</w:t>
                  </w:r>
                  <w:r w:rsidRPr="002B481B">
                    <w:rPr>
                      <w:rFonts w:ascii="Times New Roman" w:hAnsi="Times New Roman" w:cs="Times New Roman"/>
                      <w:b/>
                      <w:bCs/>
                      <w:i/>
                      <w:color w:val="000000"/>
                    </w:rPr>
                    <w:t xml:space="preserve"> </w:t>
                  </w:r>
                  <w:r>
                    <w:rPr>
                      <w:rFonts w:ascii="Times New Roman" w:hAnsi="Times New Roman" w:cs="Times New Roman"/>
                      <w:b/>
                      <w:bCs/>
                      <w:i/>
                      <w:color w:val="000000"/>
                    </w:rPr>
                    <w:t>stage</w:t>
                  </w:r>
                </w:p>
              </w:tc>
            </w:tr>
            <w:tr w:rsidR="00F0583D" w:rsidRPr="00233786" w:rsidTr="00DC4CB4">
              <w:tc>
                <w:tcPr>
                  <w:tcW w:w="2717" w:type="dxa"/>
                  <w:vMerge/>
                  <w:tcBorders>
                    <w:top w:val="single" w:sz="4" w:space="0" w:color="auto"/>
                    <w:left w:val="nil"/>
                    <w:bottom w:val="single" w:sz="4" w:space="0" w:color="auto"/>
                    <w:right w:val="nil"/>
                  </w:tcBorders>
                  <w:shd w:val="clear" w:color="auto" w:fill="auto"/>
                </w:tcPr>
                <w:p w:rsidR="00F0583D" w:rsidRPr="00233786" w:rsidRDefault="00F0583D" w:rsidP="00701A5D">
                  <w:pPr>
                    <w:spacing w:after="0" w:line="360" w:lineRule="auto"/>
                    <w:jc w:val="both"/>
                    <w:rPr>
                      <w:rFonts w:ascii="Times New Roman" w:hAnsi="Times New Roman" w:cs="Times New Roman"/>
                      <w:b/>
                      <w:bCs/>
                      <w:color w:val="000000"/>
                    </w:rPr>
                  </w:pPr>
                </w:p>
              </w:tc>
              <w:tc>
                <w:tcPr>
                  <w:tcW w:w="2717" w:type="dxa"/>
                  <w:tcBorders>
                    <w:top w:val="single" w:sz="4" w:space="0" w:color="auto"/>
                    <w:left w:val="nil"/>
                    <w:bottom w:val="single" w:sz="4" w:space="0" w:color="auto"/>
                    <w:right w:val="nil"/>
                  </w:tcBorders>
                  <w:shd w:val="clear" w:color="auto" w:fill="auto"/>
                </w:tcPr>
                <w:p w:rsidR="00F0583D" w:rsidRPr="00233786" w:rsidRDefault="00F0583D" w:rsidP="00701A5D">
                  <w:pPr>
                    <w:spacing w:after="0" w:line="360" w:lineRule="auto"/>
                    <w:jc w:val="both"/>
                    <w:rPr>
                      <w:rFonts w:ascii="Times New Roman" w:hAnsi="Times New Roman" w:cs="Times New Roman"/>
                      <w:i/>
                      <w:color w:val="000000"/>
                    </w:rPr>
                  </w:pPr>
                  <w:r w:rsidRPr="00233786">
                    <w:rPr>
                      <w:rFonts w:ascii="Times New Roman" w:hAnsi="Times New Roman" w:cs="Times New Roman"/>
                      <w:i/>
                      <w:color w:val="000000"/>
                    </w:rPr>
                    <w:t xml:space="preserve">Stage </w:t>
                  </w:r>
                  <w:r w:rsidRPr="00EA0117">
                    <w:rPr>
                      <w:rFonts w:ascii="Times New Roman" w:hAnsi="Times New Roman" w:cs="Times New Roman"/>
                      <w:color w:val="000000"/>
                    </w:rPr>
                    <w:t>IV</w:t>
                  </w:r>
                </w:p>
              </w:tc>
              <w:tc>
                <w:tcPr>
                  <w:tcW w:w="2717" w:type="dxa"/>
                  <w:tcBorders>
                    <w:top w:val="single" w:sz="4" w:space="0" w:color="auto"/>
                    <w:left w:val="nil"/>
                    <w:bottom w:val="single" w:sz="4" w:space="0" w:color="auto"/>
                    <w:right w:val="nil"/>
                  </w:tcBorders>
                  <w:shd w:val="clear" w:color="auto" w:fill="auto"/>
                </w:tcPr>
                <w:p w:rsidR="00F0583D" w:rsidRPr="00233786" w:rsidRDefault="00F0583D" w:rsidP="00701A5D">
                  <w:pPr>
                    <w:spacing w:after="0" w:line="360" w:lineRule="auto"/>
                    <w:jc w:val="both"/>
                    <w:rPr>
                      <w:rFonts w:ascii="Times New Roman" w:hAnsi="Times New Roman" w:cs="Times New Roman"/>
                      <w:i/>
                      <w:color w:val="000000"/>
                    </w:rPr>
                  </w:pPr>
                  <w:r w:rsidRPr="00233786">
                    <w:rPr>
                      <w:rFonts w:ascii="Times New Roman" w:hAnsi="Times New Roman" w:cs="Times New Roman"/>
                      <w:i/>
                      <w:color w:val="000000"/>
                    </w:rPr>
                    <w:t xml:space="preserve">Stage </w:t>
                  </w:r>
                  <w:r w:rsidRPr="00EA0117">
                    <w:rPr>
                      <w:rFonts w:ascii="Times New Roman" w:hAnsi="Times New Roman" w:cs="Times New Roman"/>
                      <w:color w:val="000000"/>
                    </w:rPr>
                    <w:t>V</w:t>
                  </w:r>
                </w:p>
              </w:tc>
            </w:tr>
            <w:tr w:rsidR="00F0583D" w:rsidRPr="00233786" w:rsidTr="00DC4CB4">
              <w:tc>
                <w:tcPr>
                  <w:tcW w:w="2717" w:type="dxa"/>
                  <w:tcBorders>
                    <w:top w:val="single" w:sz="4" w:space="0" w:color="auto"/>
                  </w:tcBorders>
                  <w:shd w:val="clear" w:color="auto" w:fill="auto"/>
                </w:tcPr>
                <w:p w:rsidR="00F0583D" w:rsidRPr="00233786" w:rsidRDefault="00F0583D" w:rsidP="00701A5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Experiment</w:t>
                  </w:r>
                  <w:r w:rsidRPr="00233786">
                    <w:rPr>
                      <w:rFonts w:ascii="Times New Roman" w:hAnsi="Times New Roman" w:cs="Times New Roman"/>
                      <w:b/>
                      <w:bCs/>
                      <w:color w:val="000000"/>
                    </w:rPr>
                    <w:t xml:space="preserve"> (n= 9)</w:t>
                  </w:r>
                </w:p>
              </w:tc>
              <w:tc>
                <w:tcPr>
                  <w:tcW w:w="2717" w:type="dxa"/>
                  <w:tcBorders>
                    <w:top w:val="single" w:sz="4" w:space="0" w:color="auto"/>
                  </w:tcBorders>
                  <w:shd w:val="clear" w:color="auto" w:fill="auto"/>
                </w:tcPr>
                <w:p w:rsidR="00F0583D" w:rsidRPr="002B481B" w:rsidRDefault="00F0583D" w:rsidP="00701A5D">
                  <w:pPr>
                    <w:spacing w:after="0" w:line="360" w:lineRule="auto"/>
                    <w:rPr>
                      <w:rFonts w:ascii="Times New Roman" w:hAnsi="Times New Roman" w:cs="Times New Roman"/>
                      <w:color w:val="000000"/>
                    </w:rPr>
                  </w:pPr>
                  <w:r w:rsidRPr="002B481B">
                    <w:rPr>
                      <w:rFonts w:ascii="Times New Roman" w:hAnsi="Times New Roman" w:cs="Times New Roman"/>
                      <w:color w:val="000000"/>
                    </w:rPr>
                    <w:t>3</w:t>
                  </w:r>
                </w:p>
              </w:tc>
              <w:tc>
                <w:tcPr>
                  <w:tcW w:w="2717" w:type="dxa"/>
                  <w:tcBorders>
                    <w:top w:val="single" w:sz="4" w:space="0" w:color="auto"/>
                  </w:tcBorders>
                  <w:shd w:val="clear" w:color="auto" w:fill="auto"/>
                </w:tcPr>
                <w:p w:rsidR="00F0583D" w:rsidRPr="002B481B" w:rsidRDefault="00F0583D" w:rsidP="00701A5D">
                  <w:pPr>
                    <w:spacing w:after="0" w:line="360" w:lineRule="auto"/>
                    <w:jc w:val="both"/>
                    <w:rPr>
                      <w:rFonts w:ascii="Times New Roman" w:hAnsi="Times New Roman" w:cs="Times New Roman"/>
                      <w:color w:val="000000"/>
                    </w:rPr>
                  </w:pPr>
                  <w:r w:rsidRPr="002B481B">
                    <w:rPr>
                      <w:rFonts w:ascii="Times New Roman" w:hAnsi="Times New Roman" w:cs="Times New Roman"/>
                      <w:color w:val="000000"/>
                    </w:rPr>
                    <w:t xml:space="preserve">6 </w:t>
                  </w:r>
                </w:p>
              </w:tc>
            </w:tr>
            <w:tr w:rsidR="00F0583D" w:rsidRPr="00233786" w:rsidTr="00DC4CB4">
              <w:tc>
                <w:tcPr>
                  <w:tcW w:w="2717" w:type="dxa"/>
                  <w:tcBorders>
                    <w:left w:val="nil"/>
                    <w:right w:val="nil"/>
                  </w:tcBorders>
                  <w:shd w:val="clear" w:color="auto" w:fill="auto"/>
                </w:tcPr>
                <w:p w:rsidR="00F0583D" w:rsidRPr="00233786" w:rsidRDefault="00F0583D" w:rsidP="00701A5D">
                  <w:pPr>
                    <w:spacing w:after="0" w:line="360" w:lineRule="auto"/>
                    <w:jc w:val="both"/>
                    <w:rPr>
                      <w:rFonts w:ascii="Times New Roman" w:hAnsi="Times New Roman" w:cs="Times New Roman"/>
                      <w:b/>
                      <w:bCs/>
                      <w:color w:val="000000"/>
                    </w:rPr>
                  </w:pPr>
                  <w:r>
                    <w:rPr>
                      <w:rFonts w:ascii="Times New Roman" w:hAnsi="Times New Roman" w:cs="Times New Roman"/>
                      <w:b/>
                      <w:bCs/>
                      <w:color w:val="000000"/>
                    </w:rPr>
                    <w:t>Control</w:t>
                  </w:r>
                  <w:r w:rsidRPr="00233786">
                    <w:rPr>
                      <w:rFonts w:ascii="Times New Roman" w:hAnsi="Times New Roman" w:cs="Times New Roman"/>
                      <w:b/>
                      <w:bCs/>
                      <w:color w:val="000000"/>
                    </w:rPr>
                    <w:t xml:space="preserve"> (n= 11)</w:t>
                  </w:r>
                </w:p>
              </w:tc>
              <w:tc>
                <w:tcPr>
                  <w:tcW w:w="2717" w:type="dxa"/>
                  <w:tcBorders>
                    <w:left w:val="nil"/>
                    <w:right w:val="nil"/>
                  </w:tcBorders>
                  <w:shd w:val="clear" w:color="auto" w:fill="auto"/>
                </w:tcPr>
                <w:p w:rsidR="00F0583D" w:rsidRPr="002B481B" w:rsidRDefault="00F0583D" w:rsidP="00701A5D">
                  <w:pPr>
                    <w:spacing w:after="0" w:line="360" w:lineRule="auto"/>
                    <w:jc w:val="both"/>
                    <w:rPr>
                      <w:rFonts w:ascii="Times New Roman" w:hAnsi="Times New Roman" w:cs="Times New Roman"/>
                      <w:color w:val="000000"/>
                    </w:rPr>
                  </w:pPr>
                  <w:r w:rsidRPr="002B481B">
                    <w:rPr>
                      <w:rFonts w:ascii="Times New Roman" w:hAnsi="Times New Roman" w:cs="Times New Roman"/>
                      <w:color w:val="000000"/>
                    </w:rPr>
                    <w:t>3</w:t>
                  </w:r>
                </w:p>
              </w:tc>
              <w:tc>
                <w:tcPr>
                  <w:tcW w:w="2717" w:type="dxa"/>
                  <w:tcBorders>
                    <w:left w:val="nil"/>
                    <w:right w:val="nil"/>
                  </w:tcBorders>
                  <w:shd w:val="clear" w:color="auto" w:fill="auto"/>
                </w:tcPr>
                <w:p w:rsidR="00F0583D" w:rsidRPr="002B481B" w:rsidRDefault="00F0583D" w:rsidP="00701A5D">
                  <w:pPr>
                    <w:spacing w:after="0" w:line="360" w:lineRule="auto"/>
                    <w:jc w:val="both"/>
                    <w:rPr>
                      <w:rFonts w:ascii="Times New Roman" w:hAnsi="Times New Roman" w:cs="Times New Roman"/>
                      <w:color w:val="000000"/>
                    </w:rPr>
                  </w:pPr>
                  <w:r w:rsidRPr="002B481B">
                    <w:rPr>
                      <w:rFonts w:ascii="Times New Roman" w:hAnsi="Times New Roman" w:cs="Times New Roman"/>
                      <w:color w:val="000000"/>
                    </w:rPr>
                    <w:t xml:space="preserve">8 </w:t>
                  </w:r>
                </w:p>
              </w:tc>
            </w:tr>
          </w:tbl>
          <w:p w:rsidR="00F0583D" w:rsidRPr="00F0583D" w:rsidRDefault="00F0583D" w:rsidP="00F0583D">
            <w:r w:rsidRPr="00F0583D">
              <w:t>No significant diffe</w:t>
            </w:r>
            <w:r>
              <w:t>rence</w:t>
            </w:r>
            <w:r w:rsidRPr="00F0583D">
              <w:t xml:space="preserve"> in Tanner maturity rating between EXP and CON groups (Fischer test </w:t>
            </w:r>
            <w:r w:rsidRPr="00F0583D">
              <w:rPr>
                <w:i/>
              </w:rPr>
              <w:t>p</w:t>
            </w:r>
            <w:r w:rsidRPr="00F0583D">
              <w:t>=1.00)</w:t>
            </w:r>
          </w:p>
          <w:p w:rsidR="00F0583D" w:rsidRPr="00E14768" w:rsidRDefault="00F0583D" w:rsidP="00E14768">
            <w:pPr>
              <w:spacing w:before="100" w:beforeAutospacing="1" w:after="0" w:line="240" w:lineRule="auto"/>
              <w:rPr>
                <w:rFonts w:ascii="Times New Roman" w:eastAsia="Times New Roman" w:hAnsi="Times New Roman" w:cs="Times New Roman"/>
                <w:sz w:val="24"/>
                <w:szCs w:val="24"/>
              </w:rPr>
            </w:pPr>
          </w:p>
          <w:p w:rsidR="00E14768" w:rsidRPr="00E14768" w:rsidRDefault="00E14768" w:rsidP="00E14768">
            <w:pPr>
              <w:spacing w:before="100" w:beforeAutospacing="1" w:after="0" w:line="240" w:lineRule="auto"/>
              <w:rPr>
                <w:rFonts w:ascii="Times New Roman" w:eastAsia="Times New Roman" w:hAnsi="Times New Roman" w:cs="Times New Roman"/>
                <w:sz w:val="24"/>
                <w:szCs w:val="24"/>
              </w:rPr>
            </w:pPr>
            <w:r w:rsidRPr="00E14768">
              <w:rPr>
                <w:rFonts w:ascii="Times New Roman" w:eastAsia="Times New Roman" w:hAnsi="Times New Roman" w:cs="Times New Roman"/>
                <w:noProof/>
                <w:sz w:val="24"/>
                <w:szCs w:val="24"/>
              </w:rPr>
              <w:lastRenderedPageBreak/>
              <w:drawing>
                <wp:inline distT="0" distB="0" distL="0" distR="0" wp14:anchorId="217D6A40" wp14:editId="6361DEB5">
                  <wp:extent cx="5416550" cy="1967865"/>
                  <wp:effectExtent l="0" t="0" r="0" b="0"/>
                  <wp:docPr id="1" name="Picture 1" descr="http://www.ioc-preventionconference.org/online-services/wp-content/plugins/gange/absimages/ABSIMG_1383323212_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oc-preventionconference.org/online-services/wp-content/plugins/gange/absimages/ABSIMG_1383323212_1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6550" cy="1967865"/>
                          </a:xfrm>
                          <a:prstGeom prst="rect">
                            <a:avLst/>
                          </a:prstGeom>
                          <a:noFill/>
                          <a:ln>
                            <a:noFill/>
                          </a:ln>
                        </pic:spPr>
                      </pic:pic>
                    </a:graphicData>
                  </a:graphic>
                </wp:inline>
              </w:drawing>
            </w:r>
          </w:p>
        </w:tc>
      </w:tr>
    </w:tbl>
    <w:p w:rsidR="008876C8" w:rsidRDefault="008876C8"/>
    <w:sectPr w:rsidR="00887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68"/>
    <w:rsid w:val="000942C9"/>
    <w:rsid w:val="00122993"/>
    <w:rsid w:val="00156720"/>
    <w:rsid w:val="001F4AD7"/>
    <w:rsid w:val="0024194F"/>
    <w:rsid w:val="003E571C"/>
    <w:rsid w:val="00405A3B"/>
    <w:rsid w:val="0045038A"/>
    <w:rsid w:val="00465A4A"/>
    <w:rsid w:val="00485E7E"/>
    <w:rsid w:val="004B6897"/>
    <w:rsid w:val="005207E4"/>
    <w:rsid w:val="005A20FC"/>
    <w:rsid w:val="005B2144"/>
    <w:rsid w:val="00642AAE"/>
    <w:rsid w:val="007C4ED7"/>
    <w:rsid w:val="00811896"/>
    <w:rsid w:val="008876C8"/>
    <w:rsid w:val="008F73BC"/>
    <w:rsid w:val="0096663C"/>
    <w:rsid w:val="00980BA0"/>
    <w:rsid w:val="009A2406"/>
    <w:rsid w:val="00A44C9E"/>
    <w:rsid w:val="00AB2032"/>
    <w:rsid w:val="00B32DAD"/>
    <w:rsid w:val="00C01AAB"/>
    <w:rsid w:val="00CA3FB7"/>
    <w:rsid w:val="00CB3B1F"/>
    <w:rsid w:val="00D62A08"/>
    <w:rsid w:val="00DB3788"/>
    <w:rsid w:val="00DC4CB4"/>
    <w:rsid w:val="00E14768"/>
    <w:rsid w:val="00E70CA3"/>
    <w:rsid w:val="00F0583D"/>
    <w:rsid w:val="00F4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68"/>
    <w:rPr>
      <w:rFonts w:ascii="Tahoma" w:hAnsi="Tahoma" w:cs="Tahoma"/>
      <w:sz w:val="16"/>
      <w:szCs w:val="16"/>
    </w:rPr>
  </w:style>
  <w:style w:type="paragraph" w:styleId="ListParagraph">
    <w:name w:val="List Paragraph"/>
    <w:basedOn w:val="Normal"/>
    <w:uiPriority w:val="34"/>
    <w:qFormat/>
    <w:rsid w:val="00F05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768"/>
    <w:rPr>
      <w:rFonts w:ascii="Tahoma" w:hAnsi="Tahoma" w:cs="Tahoma"/>
      <w:sz w:val="16"/>
      <w:szCs w:val="16"/>
    </w:rPr>
  </w:style>
  <w:style w:type="paragraph" w:styleId="ListParagraph">
    <w:name w:val="List Paragraph"/>
    <w:basedOn w:val="Normal"/>
    <w:uiPriority w:val="34"/>
    <w:qFormat/>
    <w:rsid w:val="00F0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3</cp:revision>
  <dcterms:created xsi:type="dcterms:W3CDTF">2014-03-21T03:14:00Z</dcterms:created>
  <dcterms:modified xsi:type="dcterms:W3CDTF">2015-09-08T04:14:00Z</dcterms:modified>
</cp:coreProperties>
</file>