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B7" w:rsidRDefault="009643B7" w:rsidP="009643B7">
      <w:pPr>
        <w:pStyle w:val="Heading1"/>
        <w:rPr>
          <w:lang/>
        </w:rPr>
      </w:pPr>
      <w:r>
        <w:rPr>
          <w:lang/>
        </w:rPr>
        <w:t>Generally Accepted Accounting Principles</w:t>
      </w:r>
    </w:p>
    <w:p w:rsidR="009643B7" w:rsidRPr="009643B7" w:rsidRDefault="009643B7" w:rsidP="009643B7">
      <w:pPr>
        <w:pStyle w:val="NormalWeb"/>
        <w:rPr>
          <w:rFonts w:ascii="Tunga" w:hAnsi="Tunga" w:cs="Tunga"/>
          <w:color w:val="000000"/>
          <w:sz w:val="22"/>
          <w:szCs w:val="22"/>
          <w:lang/>
        </w:rPr>
      </w:pPr>
      <w:r w:rsidRPr="009643B7">
        <w:rPr>
          <w:rFonts w:ascii="Tunga" w:hAnsi="Tunga" w:cs="Tunga"/>
          <w:b/>
          <w:bCs/>
          <w:color w:val="000000"/>
          <w:sz w:val="22"/>
          <w:szCs w:val="22"/>
          <w:lang/>
        </w:rPr>
        <w:t>Generally Accepted Accounting Principles (GAAP)</w:t>
      </w:r>
      <w:r w:rsidRPr="009643B7">
        <w:rPr>
          <w:rFonts w:ascii="Tunga" w:hAnsi="Tunga" w:cs="Tunga"/>
          <w:color w:val="000000"/>
          <w:sz w:val="22"/>
          <w:szCs w:val="22"/>
          <w:lang/>
        </w:rPr>
        <w:t xml:space="preserve"> is the standard framework of guidelines for </w:t>
      </w:r>
      <w:hyperlink r:id="rId7" w:tooltip="Financial accounting" w:history="1">
        <w:r w:rsidRPr="009643B7">
          <w:rPr>
            <w:rStyle w:val="Hyperlink"/>
            <w:rFonts w:ascii="Tunga" w:hAnsi="Tunga" w:cs="Tunga"/>
            <w:color w:val="000000"/>
            <w:sz w:val="22"/>
            <w:szCs w:val="22"/>
            <w:u w:val="none"/>
            <w:lang/>
          </w:rPr>
          <w:t>financial accounting</w:t>
        </w:r>
      </w:hyperlink>
      <w:r w:rsidRPr="009643B7">
        <w:rPr>
          <w:rFonts w:ascii="Tunga" w:hAnsi="Tunga" w:cs="Tunga"/>
          <w:color w:val="000000"/>
          <w:sz w:val="22"/>
          <w:szCs w:val="22"/>
          <w:lang/>
        </w:rPr>
        <w:t xml:space="preserve">. It includes the standards, conventions, and rules accountants follow in recording and summarizing transactions, and in the preparation of </w:t>
      </w:r>
      <w:hyperlink r:id="rId8" w:tooltip="Financial statements" w:history="1">
        <w:r w:rsidRPr="009643B7">
          <w:rPr>
            <w:rStyle w:val="Hyperlink"/>
            <w:rFonts w:ascii="Tunga" w:hAnsi="Tunga" w:cs="Tunga"/>
            <w:color w:val="000000"/>
            <w:sz w:val="22"/>
            <w:szCs w:val="22"/>
            <w:u w:val="none"/>
            <w:lang/>
          </w:rPr>
          <w:t>financial statements</w:t>
        </w:r>
      </w:hyperlink>
      <w:r w:rsidRPr="009643B7">
        <w:rPr>
          <w:rFonts w:ascii="Tunga" w:hAnsi="Tunga" w:cs="Tunga"/>
          <w:color w:val="000000"/>
          <w:sz w:val="22"/>
          <w:szCs w:val="22"/>
          <w:lang/>
        </w:rPr>
        <w:t>.</w:t>
      </w:r>
    </w:p>
    <w:tbl>
      <w:tblPr>
        <w:tblW w:w="0" w:type="auto"/>
        <w:tblCellSpacing w:w="15" w:type="dxa"/>
        <w:tblCellMar>
          <w:top w:w="15" w:type="dxa"/>
          <w:left w:w="15" w:type="dxa"/>
          <w:bottom w:w="15" w:type="dxa"/>
          <w:right w:w="15" w:type="dxa"/>
        </w:tblCellMar>
        <w:tblLook w:val="0000"/>
      </w:tblPr>
      <w:tblGrid>
        <w:gridCol w:w="5039"/>
      </w:tblGrid>
      <w:tr w:rsidR="009643B7">
        <w:trPr>
          <w:tblCellSpacing w:w="15" w:type="dxa"/>
        </w:trPr>
        <w:tc>
          <w:tcPr>
            <w:tcW w:w="0" w:type="auto"/>
            <w:vAlign w:val="center"/>
          </w:tcPr>
          <w:p w:rsidR="009643B7" w:rsidRPr="009643B7" w:rsidRDefault="009643B7" w:rsidP="009643B7">
            <w:pPr>
              <w:pStyle w:val="Heading2"/>
              <w:rPr>
                <w:rFonts w:ascii="Tunga" w:hAnsi="Tunga" w:cs="Tunga"/>
                <w:color w:val="000000"/>
                <w:sz w:val="20"/>
                <w:szCs w:val="20"/>
              </w:rPr>
            </w:pPr>
            <w:r w:rsidRPr="009643B7">
              <w:rPr>
                <w:rFonts w:ascii="Tunga" w:hAnsi="Tunga" w:cs="Tunga"/>
                <w:color w:val="000000"/>
                <w:sz w:val="20"/>
                <w:szCs w:val="20"/>
              </w:rPr>
              <w:t>Contents</w:t>
            </w:r>
          </w:p>
          <w:p w:rsidR="009643B7" w:rsidRPr="009643B7" w:rsidRDefault="00C96821" w:rsidP="009643B7">
            <w:pPr>
              <w:numPr>
                <w:ilvl w:val="0"/>
                <w:numId w:val="1"/>
              </w:numPr>
              <w:tabs>
                <w:tab w:val="clear" w:pos="720"/>
                <w:tab w:val="num" w:pos="540"/>
              </w:tabs>
              <w:spacing w:before="100" w:beforeAutospacing="1" w:after="100" w:afterAutospacing="1"/>
              <w:ind w:hanging="540"/>
              <w:rPr>
                <w:rFonts w:ascii="Tunga" w:hAnsi="Tunga" w:cs="Tunga"/>
                <w:color w:val="000000"/>
                <w:sz w:val="20"/>
                <w:szCs w:val="20"/>
              </w:rPr>
            </w:pPr>
            <w:r>
              <w:rPr>
                <w:rFonts w:ascii="Tunga" w:hAnsi="Tunga" w:cs="Tunga"/>
                <w:color w:val="000000"/>
                <w:sz w:val="20"/>
                <w:szCs w:val="20"/>
              </w:rPr>
              <w:t xml:space="preserve">1 </w:t>
            </w:r>
            <w:r w:rsidR="009643B7" w:rsidRPr="009643B7">
              <w:rPr>
                <w:rFonts w:ascii="Tunga" w:hAnsi="Tunga" w:cs="Tunga"/>
                <w:color w:val="000000"/>
                <w:sz w:val="20"/>
                <w:szCs w:val="20"/>
              </w:rPr>
              <w:t xml:space="preserve">Overview </w:t>
            </w:r>
          </w:p>
          <w:p w:rsidR="009643B7" w:rsidRPr="009643B7" w:rsidRDefault="009643B7" w:rsidP="009643B7">
            <w:pPr>
              <w:numPr>
                <w:ilvl w:val="1"/>
                <w:numId w:val="1"/>
              </w:numPr>
              <w:tabs>
                <w:tab w:val="clear" w:pos="1440"/>
                <w:tab w:val="num" w:pos="540"/>
                <w:tab w:val="num" w:pos="900"/>
              </w:tabs>
              <w:spacing w:before="100" w:beforeAutospacing="1" w:after="100" w:afterAutospacing="1"/>
              <w:ind w:hanging="900"/>
              <w:rPr>
                <w:rFonts w:ascii="Tunga" w:hAnsi="Tunga" w:cs="Tunga"/>
                <w:color w:val="000000"/>
                <w:sz w:val="20"/>
                <w:szCs w:val="20"/>
              </w:rPr>
            </w:pPr>
            <w:hyperlink r:id="rId9" w:anchor="Principle_of_regularity#Principle_of_regularity" w:history="1">
              <w:r w:rsidRPr="009643B7">
                <w:rPr>
                  <w:rStyle w:val="tocnumber"/>
                  <w:rFonts w:ascii="Tunga" w:hAnsi="Tunga" w:cs="Tunga"/>
                  <w:color w:val="000000"/>
                  <w:sz w:val="20"/>
                  <w:szCs w:val="20"/>
                </w:rPr>
                <w:t>1.1</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Principle of regularity</w:t>
              </w:r>
            </w:hyperlink>
            <w:r w:rsidRPr="009643B7">
              <w:rPr>
                <w:rFonts w:ascii="Tunga" w:hAnsi="Tunga" w:cs="Tunga"/>
                <w:color w:val="000000"/>
                <w:sz w:val="20"/>
                <w:szCs w:val="20"/>
              </w:rPr>
              <w:t xml:space="preserve"> </w:t>
            </w:r>
          </w:p>
          <w:p w:rsidR="009643B7" w:rsidRPr="009643B7" w:rsidRDefault="009643B7" w:rsidP="009643B7">
            <w:pPr>
              <w:numPr>
                <w:ilvl w:val="1"/>
                <w:numId w:val="1"/>
              </w:numPr>
              <w:tabs>
                <w:tab w:val="clear" w:pos="1440"/>
                <w:tab w:val="num" w:pos="540"/>
                <w:tab w:val="num" w:pos="900"/>
              </w:tabs>
              <w:spacing w:before="100" w:beforeAutospacing="1" w:after="100" w:afterAutospacing="1"/>
              <w:ind w:hanging="900"/>
              <w:rPr>
                <w:rFonts w:ascii="Tunga" w:hAnsi="Tunga" w:cs="Tunga"/>
                <w:color w:val="000000"/>
                <w:sz w:val="20"/>
                <w:szCs w:val="20"/>
              </w:rPr>
            </w:pPr>
            <w:hyperlink r:id="rId10" w:anchor="Principle_of_sincerity#Principle_of_sincerity" w:history="1">
              <w:r w:rsidRPr="009643B7">
                <w:rPr>
                  <w:rStyle w:val="tocnumber"/>
                  <w:rFonts w:ascii="Tunga" w:hAnsi="Tunga" w:cs="Tunga"/>
                  <w:color w:val="000000"/>
                  <w:sz w:val="20"/>
                  <w:szCs w:val="20"/>
                </w:rPr>
                <w:t>1.2</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Principle of sincerity</w:t>
              </w:r>
            </w:hyperlink>
            <w:r w:rsidRPr="009643B7">
              <w:rPr>
                <w:rFonts w:ascii="Tunga" w:hAnsi="Tunga" w:cs="Tunga"/>
                <w:color w:val="000000"/>
                <w:sz w:val="20"/>
                <w:szCs w:val="20"/>
              </w:rPr>
              <w:t xml:space="preserve"> </w:t>
            </w:r>
          </w:p>
          <w:p w:rsidR="009643B7" w:rsidRPr="009643B7" w:rsidRDefault="009643B7" w:rsidP="009643B7">
            <w:pPr>
              <w:numPr>
                <w:ilvl w:val="1"/>
                <w:numId w:val="1"/>
              </w:numPr>
              <w:tabs>
                <w:tab w:val="clear" w:pos="1440"/>
                <w:tab w:val="num" w:pos="540"/>
                <w:tab w:val="num" w:pos="900"/>
              </w:tabs>
              <w:spacing w:before="100" w:beforeAutospacing="1" w:after="100" w:afterAutospacing="1"/>
              <w:ind w:hanging="900"/>
              <w:rPr>
                <w:rFonts w:ascii="Tunga" w:hAnsi="Tunga" w:cs="Tunga"/>
                <w:color w:val="000000"/>
                <w:sz w:val="20"/>
                <w:szCs w:val="20"/>
              </w:rPr>
            </w:pPr>
            <w:hyperlink r:id="rId11" w:anchor="Principle_of_the_permanence_of_methods#Principle_of_the_permanence_of_methods" w:history="1">
              <w:r w:rsidRPr="009643B7">
                <w:rPr>
                  <w:rStyle w:val="tocnumber"/>
                  <w:rFonts w:ascii="Tunga" w:hAnsi="Tunga" w:cs="Tunga"/>
                  <w:color w:val="000000"/>
                  <w:sz w:val="20"/>
                  <w:szCs w:val="20"/>
                </w:rPr>
                <w:t>1.3</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Principle of the permanence of methods</w:t>
              </w:r>
            </w:hyperlink>
            <w:r w:rsidRPr="009643B7">
              <w:rPr>
                <w:rFonts w:ascii="Tunga" w:hAnsi="Tunga" w:cs="Tunga"/>
                <w:color w:val="000000"/>
                <w:sz w:val="20"/>
                <w:szCs w:val="20"/>
              </w:rPr>
              <w:t xml:space="preserve"> </w:t>
            </w:r>
          </w:p>
          <w:p w:rsidR="009643B7" w:rsidRPr="009643B7" w:rsidRDefault="009643B7" w:rsidP="009643B7">
            <w:pPr>
              <w:numPr>
                <w:ilvl w:val="1"/>
                <w:numId w:val="1"/>
              </w:numPr>
              <w:tabs>
                <w:tab w:val="clear" w:pos="1440"/>
                <w:tab w:val="num" w:pos="540"/>
                <w:tab w:val="num" w:pos="900"/>
              </w:tabs>
              <w:spacing w:before="100" w:beforeAutospacing="1" w:after="100" w:afterAutospacing="1"/>
              <w:ind w:hanging="900"/>
              <w:rPr>
                <w:rFonts w:ascii="Tunga" w:hAnsi="Tunga" w:cs="Tunga"/>
                <w:color w:val="000000"/>
                <w:sz w:val="20"/>
                <w:szCs w:val="20"/>
              </w:rPr>
            </w:pPr>
            <w:hyperlink r:id="rId12" w:anchor="Principle_of_non-compensation#Principle_of_non-compensation" w:history="1">
              <w:r w:rsidRPr="009643B7">
                <w:rPr>
                  <w:rStyle w:val="tocnumber"/>
                  <w:rFonts w:ascii="Tunga" w:hAnsi="Tunga" w:cs="Tunga"/>
                  <w:color w:val="000000"/>
                  <w:sz w:val="20"/>
                  <w:szCs w:val="20"/>
                </w:rPr>
                <w:t>1.4</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Principle of non-compensation</w:t>
              </w:r>
            </w:hyperlink>
            <w:r w:rsidRPr="009643B7">
              <w:rPr>
                <w:rFonts w:ascii="Tunga" w:hAnsi="Tunga" w:cs="Tunga"/>
                <w:color w:val="000000"/>
                <w:sz w:val="20"/>
                <w:szCs w:val="20"/>
              </w:rPr>
              <w:t xml:space="preserve"> </w:t>
            </w:r>
          </w:p>
          <w:p w:rsidR="009643B7" w:rsidRPr="009643B7" w:rsidRDefault="009643B7" w:rsidP="009643B7">
            <w:pPr>
              <w:numPr>
                <w:ilvl w:val="1"/>
                <w:numId w:val="1"/>
              </w:numPr>
              <w:tabs>
                <w:tab w:val="clear" w:pos="1440"/>
                <w:tab w:val="num" w:pos="540"/>
                <w:tab w:val="num" w:pos="900"/>
              </w:tabs>
              <w:spacing w:before="100" w:beforeAutospacing="1" w:after="100" w:afterAutospacing="1"/>
              <w:ind w:hanging="900"/>
              <w:rPr>
                <w:rFonts w:ascii="Tunga" w:hAnsi="Tunga" w:cs="Tunga"/>
                <w:color w:val="000000"/>
                <w:sz w:val="20"/>
                <w:szCs w:val="20"/>
              </w:rPr>
            </w:pPr>
            <w:hyperlink r:id="rId13" w:anchor="Principle_of_prudence#Principle_of_prudence" w:history="1">
              <w:r w:rsidRPr="009643B7">
                <w:rPr>
                  <w:rStyle w:val="tocnumber"/>
                  <w:rFonts w:ascii="Tunga" w:hAnsi="Tunga" w:cs="Tunga"/>
                  <w:color w:val="000000"/>
                  <w:sz w:val="20"/>
                  <w:szCs w:val="20"/>
                </w:rPr>
                <w:t>1.5</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Principle of prudence</w:t>
              </w:r>
            </w:hyperlink>
            <w:r w:rsidRPr="009643B7">
              <w:rPr>
                <w:rFonts w:ascii="Tunga" w:hAnsi="Tunga" w:cs="Tunga"/>
                <w:color w:val="000000"/>
                <w:sz w:val="20"/>
                <w:szCs w:val="20"/>
              </w:rPr>
              <w:t xml:space="preserve"> </w:t>
            </w:r>
          </w:p>
          <w:p w:rsidR="009643B7" w:rsidRPr="009643B7" w:rsidRDefault="009643B7" w:rsidP="009643B7">
            <w:pPr>
              <w:numPr>
                <w:ilvl w:val="1"/>
                <w:numId w:val="1"/>
              </w:numPr>
              <w:tabs>
                <w:tab w:val="clear" w:pos="1440"/>
                <w:tab w:val="num" w:pos="540"/>
                <w:tab w:val="num" w:pos="900"/>
              </w:tabs>
              <w:spacing w:before="100" w:beforeAutospacing="1" w:after="100" w:afterAutospacing="1"/>
              <w:ind w:hanging="900"/>
              <w:rPr>
                <w:rFonts w:ascii="Tunga" w:hAnsi="Tunga" w:cs="Tunga"/>
                <w:color w:val="000000"/>
                <w:sz w:val="20"/>
                <w:szCs w:val="20"/>
              </w:rPr>
            </w:pPr>
            <w:hyperlink r:id="rId14" w:anchor="Principle_of_continuity#Principle_of_continuity" w:history="1">
              <w:r w:rsidRPr="009643B7">
                <w:rPr>
                  <w:rStyle w:val="tocnumber"/>
                  <w:rFonts w:ascii="Tunga" w:hAnsi="Tunga" w:cs="Tunga"/>
                  <w:color w:val="000000"/>
                  <w:sz w:val="20"/>
                  <w:szCs w:val="20"/>
                </w:rPr>
                <w:t>1.6</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Principle of continuity</w:t>
              </w:r>
            </w:hyperlink>
            <w:r w:rsidRPr="009643B7">
              <w:rPr>
                <w:rFonts w:ascii="Tunga" w:hAnsi="Tunga" w:cs="Tunga"/>
                <w:color w:val="000000"/>
                <w:sz w:val="20"/>
                <w:szCs w:val="20"/>
              </w:rPr>
              <w:t xml:space="preserve"> </w:t>
            </w:r>
          </w:p>
          <w:p w:rsidR="009643B7" w:rsidRPr="009643B7" w:rsidRDefault="009643B7" w:rsidP="009643B7">
            <w:pPr>
              <w:numPr>
                <w:ilvl w:val="1"/>
                <w:numId w:val="1"/>
              </w:numPr>
              <w:tabs>
                <w:tab w:val="clear" w:pos="1440"/>
                <w:tab w:val="num" w:pos="540"/>
                <w:tab w:val="num" w:pos="900"/>
              </w:tabs>
              <w:spacing w:before="100" w:beforeAutospacing="1" w:after="100" w:afterAutospacing="1"/>
              <w:ind w:hanging="900"/>
              <w:rPr>
                <w:rFonts w:ascii="Tunga" w:hAnsi="Tunga" w:cs="Tunga"/>
                <w:color w:val="000000"/>
                <w:sz w:val="20"/>
                <w:szCs w:val="20"/>
              </w:rPr>
            </w:pPr>
            <w:hyperlink r:id="rId15" w:anchor="Principle_of_periodicity#Principle_of_periodicity" w:history="1">
              <w:r w:rsidRPr="009643B7">
                <w:rPr>
                  <w:rStyle w:val="tocnumber"/>
                  <w:rFonts w:ascii="Tunga" w:hAnsi="Tunga" w:cs="Tunga"/>
                  <w:color w:val="000000"/>
                  <w:sz w:val="20"/>
                  <w:szCs w:val="20"/>
                </w:rPr>
                <w:t>1.7</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Principle of periodicity</w:t>
              </w:r>
            </w:hyperlink>
            <w:r w:rsidRPr="009643B7">
              <w:rPr>
                <w:rFonts w:ascii="Tunga" w:hAnsi="Tunga" w:cs="Tunga"/>
                <w:color w:val="000000"/>
                <w:sz w:val="20"/>
                <w:szCs w:val="20"/>
              </w:rPr>
              <w:t xml:space="preserve"> </w:t>
            </w:r>
          </w:p>
          <w:p w:rsidR="009643B7" w:rsidRPr="009643B7" w:rsidRDefault="009643B7" w:rsidP="009643B7">
            <w:pPr>
              <w:numPr>
                <w:ilvl w:val="0"/>
                <w:numId w:val="1"/>
              </w:numPr>
              <w:tabs>
                <w:tab w:val="clear" w:pos="720"/>
                <w:tab w:val="num" w:pos="540"/>
              </w:tabs>
              <w:spacing w:before="100" w:beforeAutospacing="1" w:after="100" w:afterAutospacing="1"/>
              <w:ind w:hanging="540"/>
              <w:rPr>
                <w:rFonts w:ascii="Tunga" w:hAnsi="Tunga" w:cs="Tunga"/>
                <w:color w:val="000000"/>
                <w:sz w:val="20"/>
                <w:szCs w:val="20"/>
              </w:rPr>
            </w:pPr>
            <w:hyperlink r:id="rId16" w:anchor="United_States.27_GAAP_Hierarchy#United_States.27_GAAP_Hierarchy" w:history="1">
              <w:r w:rsidRPr="009643B7">
                <w:rPr>
                  <w:rStyle w:val="tocnumber"/>
                  <w:rFonts w:ascii="Tunga" w:hAnsi="Tunga" w:cs="Tunga"/>
                  <w:color w:val="000000"/>
                  <w:sz w:val="20"/>
                  <w:szCs w:val="20"/>
                </w:rPr>
                <w:t>2</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United States' GAAP Hierarchy</w:t>
              </w:r>
            </w:hyperlink>
            <w:r w:rsidRPr="009643B7">
              <w:rPr>
                <w:rFonts w:ascii="Tunga" w:hAnsi="Tunga" w:cs="Tunga"/>
                <w:color w:val="000000"/>
                <w:sz w:val="20"/>
                <w:szCs w:val="20"/>
              </w:rPr>
              <w:t xml:space="preserve"> </w:t>
            </w:r>
          </w:p>
          <w:p w:rsidR="009643B7" w:rsidRPr="009643B7" w:rsidRDefault="009643B7" w:rsidP="009643B7">
            <w:pPr>
              <w:numPr>
                <w:ilvl w:val="0"/>
                <w:numId w:val="1"/>
              </w:numPr>
              <w:tabs>
                <w:tab w:val="clear" w:pos="720"/>
                <w:tab w:val="num" w:pos="540"/>
              </w:tabs>
              <w:spacing w:before="100" w:beforeAutospacing="1" w:after="100" w:afterAutospacing="1"/>
              <w:ind w:hanging="540"/>
              <w:rPr>
                <w:rFonts w:ascii="Tunga" w:hAnsi="Tunga" w:cs="Tunga"/>
                <w:color w:val="000000"/>
                <w:sz w:val="20"/>
                <w:szCs w:val="20"/>
              </w:rPr>
            </w:pPr>
            <w:hyperlink r:id="rId17" w:anchor="National_GAAP#National_GAAP" w:history="1">
              <w:r w:rsidRPr="009643B7">
                <w:rPr>
                  <w:rStyle w:val="tocnumber"/>
                  <w:rFonts w:ascii="Tunga" w:hAnsi="Tunga" w:cs="Tunga"/>
                  <w:color w:val="000000"/>
                  <w:sz w:val="20"/>
                  <w:szCs w:val="20"/>
                </w:rPr>
                <w:t>3</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National GAAP</w:t>
              </w:r>
            </w:hyperlink>
            <w:r w:rsidRPr="009643B7">
              <w:rPr>
                <w:rFonts w:ascii="Tunga" w:hAnsi="Tunga" w:cs="Tunga"/>
                <w:color w:val="000000"/>
                <w:sz w:val="20"/>
                <w:szCs w:val="20"/>
              </w:rPr>
              <w:t xml:space="preserve"> </w:t>
            </w:r>
          </w:p>
          <w:p w:rsidR="009643B7" w:rsidRPr="009643B7" w:rsidRDefault="009643B7" w:rsidP="009643B7">
            <w:pPr>
              <w:numPr>
                <w:ilvl w:val="0"/>
                <w:numId w:val="1"/>
              </w:numPr>
              <w:tabs>
                <w:tab w:val="clear" w:pos="720"/>
                <w:tab w:val="num" w:pos="540"/>
              </w:tabs>
              <w:spacing w:before="100" w:beforeAutospacing="1" w:after="100" w:afterAutospacing="1"/>
              <w:ind w:hanging="540"/>
              <w:rPr>
                <w:rFonts w:ascii="Tunga" w:hAnsi="Tunga" w:cs="Tunga"/>
                <w:color w:val="000000"/>
                <w:sz w:val="20"/>
                <w:szCs w:val="20"/>
              </w:rPr>
            </w:pPr>
            <w:hyperlink r:id="rId18" w:anchor="Required_Departures_from_GAAP#Required_Departures_from_GAAP" w:history="1">
              <w:r w:rsidRPr="009643B7">
                <w:rPr>
                  <w:rStyle w:val="tocnumber"/>
                  <w:rFonts w:ascii="Tunga" w:hAnsi="Tunga" w:cs="Tunga"/>
                  <w:color w:val="000000"/>
                  <w:sz w:val="20"/>
                  <w:szCs w:val="20"/>
                </w:rPr>
                <w:t>4</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Required Departures from GAAP</w:t>
              </w:r>
            </w:hyperlink>
            <w:r w:rsidRPr="009643B7">
              <w:rPr>
                <w:rFonts w:ascii="Tunga" w:hAnsi="Tunga" w:cs="Tunga"/>
                <w:color w:val="000000"/>
                <w:sz w:val="20"/>
                <w:szCs w:val="20"/>
              </w:rPr>
              <w:t xml:space="preserve"> </w:t>
            </w:r>
          </w:p>
          <w:p w:rsidR="009643B7" w:rsidRPr="009643B7" w:rsidRDefault="009643B7" w:rsidP="009643B7">
            <w:pPr>
              <w:numPr>
                <w:ilvl w:val="0"/>
                <w:numId w:val="1"/>
              </w:numPr>
              <w:tabs>
                <w:tab w:val="clear" w:pos="720"/>
                <w:tab w:val="num" w:pos="540"/>
              </w:tabs>
              <w:spacing w:before="100" w:beforeAutospacing="1" w:after="100" w:afterAutospacing="1"/>
              <w:ind w:hanging="540"/>
              <w:rPr>
                <w:rFonts w:ascii="Tunga" w:hAnsi="Tunga" w:cs="Tunga"/>
                <w:color w:val="000000"/>
                <w:sz w:val="20"/>
                <w:szCs w:val="20"/>
              </w:rPr>
            </w:pPr>
            <w:hyperlink r:id="rId19" w:anchor="International_GAAP#International_GAAP" w:history="1">
              <w:r w:rsidRPr="009643B7">
                <w:rPr>
                  <w:rStyle w:val="tocnumber"/>
                  <w:rFonts w:ascii="Tunga" w:hAnsi="Tunga" w:cs="Tunga"/>
                  <w:color w:val="000000"/>
                  <w:sz w:val="20"/>
                  <w:szCs w:val="20"/>
                </w:rPr>
                <w:t>5</w:t>
              </w:r>
              <w:r w:rsidRPr="009643B7">
                <w:rPr>
                  <w:rStyle w:val="Hyperlink"/>
                  <w:rFonts w:ascii="Tunga" w:hAnsi="Tunga" w:cs="Tunga"/>
                  <w:color w:val="000000"/>
                  <w:sz w:val="20"/>
                  <w:szCs w:val="20"/>
                  <w:u w:val="none"/>
                </w:rPr>
                <w:t xml:space="preserve"> </w:t>
              </w:r>
              <w:r w:rsidRPr="009643B7">
                <w:rPr>
                  <w:rStyle w:val="toctext"/>
                  <w:rFonts w:ascii="Tunga" w:hAnsi="Tunga" w:cs="Tunga"/>
                  <w:color w:val="000000"/>
                  <w:sz w:val="20"/>
                  <w:szCs w:val="20"/>
                </w:rPr>
                <w:t>International GAAP</w:t>
              </w:r>
            </w:hyperlink>
            <w:r w:rsidRPr="009643B7">
              <w:rPr>
                <w:rFonts w:ascii="Tunga" w:hAnsi="Tunga" w:cs="Tunga"/>
                <w:color w:val="000000"/>
                <w:sz w:val="20"/>
                <w:szCs w:val="20"/>
              </w:rPr>
              <w:t xml:space="preserve"> </w:t>
            </w:r>
          </w:p>
        </w:tc>
      </w:tr>
    </w:tbl>
    <w:p w:rsidR="009643B7" w:rsidRDefault="009643B7" w:rsidP="009643B7">
      <w:pPr>
        <w:pStyle w:val="Heading2"/>
        <w:rPr>
          <w:lang/>
        </w:rPr>
      </w:pPr>
      <w:r>
        <w:rPr>
          <w:rStyle w:val="mw-headline"/>
          <w:lang/>
        </w:rPr>
        <w:t>Overview</w:t>
      </w:r>
    </w:p>
    <w:p w:rsidR="009643B7" w:rsidRPr="009643B7" w:rsidRDefault="009643B7" w:rsidP="009643B7">
      <w:pPr>
        <w:pStyle w:val="NormalWeb"/>
        <w:rPr>
          <w:rFonts w:ascii="Tunga" w:hAnsi="Tunga" w:cs="Tunga"/>
          <w:sz w:val="22"/>
          <w:szCs w:val="22"/>
          <w:lang/>
        </w:rPr>
      </w:pPr>
      <w:r w:rsidRPr="009643B7">
        <w:rPr>
          <w:rFonts w:ascii="Tunga" w:hAnsi="Tunga" w:cs="Tunga"/>
          <w:sz w:val="22"/>
          <w:szCs w:val="22"/>
          <w:lang/>
        </w:rPr>
        <w:t>Financial accounting information must be assembled and reported objectively. Third-parties who must rely on such information have a right to be assured that the data are free from bias and inconsistency, whether deliberate or not. For this reason, financial accounting relies on certain standards or guides that are called "General Accepted Accounting Principles" (GAAP).</w:t>
      </w:r>
    </w:p>
    <w:p w:rsidR="009643B7" w:rsidRDefault="009643B7" w:rsidP="009643B7">
      <w:pPr>
        <w:pStyle w:val="NormalWeb"/>
        <w:rPr>
          <w:lang/>
        </w:rPr>
      </w:pPr>
      <w:r w:rsidRPr="009643B7">
        <w:rPr>
          <w:rFonts w:ascii="Tunga" w:hAnsi="Tunga" w:cs="Tunga"/>
          <w:sz w:val="22"/>
          <w:szCs w:val="22"/>
          <w:lang/>
        </w:rPr>
        <w:t>Principles also derive from tradition, such as the concept of matching. In any report of financial statements (audit, compilation, review, etc.), the preparer/auditor/</w:t>
      </w:r>
      <w:hyperlink r:id="rId20" w:tooltip="CPA" w:history="1">
        <w:r w:rsidRPr="00C96821">
          <w:rPr>
            <w:rStyle w:val="Hyperlink"/>
            <w:rFonts w:ascii="Tunga" w:hAnsi="Tunga" w:cs="Tunga"/>
            <w:color w:val="000000"/>
            <w:sz w:val="22"/>
            <w:szCs w:val="22"/>
            <w:lang/>
          </w:rPr>
          <w:t>CPA</w:t>
        </w:r>
      </w:hyperlink>
      <w:r w:rsidRPr="00C96821">
        <w:rPr>
          <w:rFonts w:ascii="Tunga" w:hAnsi="Tunga" w:cs="Tunga"/>
          <w:color w:val="000000"/>
          <w:sz w:val="22"/>
          <w:szCs w:val="22"/>
          <w:lang/>
        </w:rPr>
        <w:t xml:space="preserve"> </w:t>
      </w:r>
      <w:r w:rsidRPr="009643B7">
        <w:rPr>
          <w:rFonts w:ascii="Tunga" w:hAnsi="Tunga" w:cs="Tunga"/>
          <w:sz w:val="22"/>
          <w:szCs w:val="22"/>
          <w:lang/>
        </w:rPr>
        <w:t>must indicate to the reader whether or not the information contained within the statements complies with GAAP.</w:t>
      </w:r>
    </w:p>
    <w:p w:rsidR="009643B7" w:rsidRDefault="009643B7" w:rsidP="009643B7">
      <w:pPr>
        <w:pStyle w:val="Heading3"/>
        <w:rPr>
          <w:lang/>
        </w:rPr>
      </w:pPr>
      <w:bookmarkStart w:id="0" w:name="Principle_of_regularity"/>
      <w:bookmarkEnd w:id="0"/>
      <w:r>
        <w:rPr>
          <w:rStyle w:val="mw-headline"/>
          <w:lang/>
        </w:rPr>
        <w:t>Principle of regularity</w:t>
      </w:r>
    </w:p>
    <w:p w:rsidR="009643B7" w:rsidRPr="009643B7" w:rsidRDefault="009643B7" w:rsidP="009643B7">
      <w:pPr>
        <w:pStyle w:val="NormalWeb"/>
        <w:rPr>
          <w:rFonts w:ascii="Tunga" w:hAnsi="Tunga" w:cs="Tunga"/>
          <w:sz w:val="22"/>
          <w:szCs w:val="22"/>
          <w:lang/>
        </w:rPr>
      </w:pPr>
      <w:r w:rsidRPr="009643B7">
        <w:rPr>
          <w:rFonts w:ascii="Tunga" w:hAnsi="Tunga" w:cs="Tunga"/>
          <w:sz w:val="22"/>
          <w:szCs w:val="22"/>
          <w:lang/>
        </w:rPr>
        <w:t>Regularity can be defined as conformity to enforced rules and laws.</w:t>
      </w:r>
    </w:p>
    <w:p w:rsidR="009643B7" w:rsidRDefault="009643B7" w:rsidP="009643B7">
      <w:pPr>
        <w:pStyle w:val="Heading3"/>
        <w:rPr>
          <w:lang/>
        </w:rPr>
      </w:pPr>
      <w:bookmarkStart w:id="1" w:name="Principle_of_sincerity"/>
      <w:bookmarkEnd w:id="1"/>
      <w:r>
        <w:rPr>
          <w:rStyle w:val="mw-headline"/>
          <w:lang/>
        </w:rPr>
        <w:t>Principle of sincerity</w:t>
      </w:r>
    </w:p>
    <w:p w:rsidR="009643B7" w:rsidRDefault="009643B7" w:rsidP="009643B7">
      <w:pPr>
        <w:pStyle w:val="NormalWeb"/>
        <w:rPr>
          <w:rFonts w:ascii="Tunga" w:hAnsi="Tunga" w:cs="Tunga"/>
          <w:sz w:val="22"/>
          <w:szCs w:val="22"/>
          <w:lang/>
        </w:rPr>
      </w:pPr>
      <w:r w:rsidRPr="009643B7">
        <w:rPr>
          <w:rFonts w:ascii="Tunga" w:hAnsi="Tunga" w:cs="Tunga"/>
          <w:sz w:val="22"/>
          <w:szCs w:val="22"/>
          <w:lang/>
        </w:rPr>
        <w:t>According to this principle, the accounting unit should reflect in good faith the reality of the company's financial status.</w:t>
      </w:r>
    </w:p>
    <w:p w:rsidR="00D507EA" w:rsidRPr="009643B7" w:rsidRDefault="00D507EA" w:rsidP="009643B7">
      <w:pPr>
        <w:pStyle w:val="NormalWeb"/>
        <w:rPr>
          <w:rFonts w:ascii="Tunga" w:hAnsi="Tunga" w:cs="Tunga"/>
          <w:sz w:val="22"/>
          <w:szCs w:val="22"/>
          <w:lang/>
        </w:rPr>
      </w:pPr>
    </w:p>
    <w:p w:rsidR="009643B7" w:rsidRDefault="009643B7" w:rsidP="009643B7">
      <w:pPr>
        <w:pStyle w:val="Heading3"/>
        <w:rPr>
          <w:lang/>
        </w:rPr>
      </w:pPr>
      <w:bookmarkStart w:id="2" w:name="Principle_of_the_permanence_of_methods"/>
      <w:bookmarkEnd w:id="2"/>
      <w:r>
        <w:rPr>
          <w:rStyle w:val="mw-headline"/>
          <w:lang/>
        </w:rPr>
        <w:lastRenderedPageBreak/>
        <w:t>Principle of the permanence of methods</w:t>
      </w:r>
    </w:p>
    <w:p w:rsidR="009643B7" w:rsidRPr="009643B7" w:rsidRDefault="009643B7" w:rsidP="009643B7">
      <w:pPr>
        <w:pStyle w:val="NormalWeb"/>
        <w:rPr>
          <w:rFonts w:ascii="Tunga" w:hAnsi="Tunga" w:cs="Tunga"/>
          <w:sz w:val="22"/>
          <w:szCs w:val="22"/>
          <w:lang/>
        </w:rPr>
      </w:pPr>
      <w:r w:rsidRPr="009643B7">
        <w:rPr>
          <w:rFonts w:ascii="Tunga" w:hAnsi="Tunga" w:cs="Tunga"/>
          <w:sz w:val="22"/>
          <w:szCs w:val="22"/>
          <w:lang/>
        </w:rPr>
        <w:t>This principle aims at allowing the coherence and comparison of the financial information published by the company.</w:t>
      </w:r>
    </w:p>
    <w:p w:rsidR="009643B7" w:rsidRDefault="009643B7" w:rsidP="009643B7">
      <w:pPr>
        <w:pStyle w:val="Heading3"/>
        <w:rPr>
          <w:lang/>
        </w:rPr>
      </w:pPr>
      <w:bookmarkStart w:id="3" w:name="Principle_of_non-compensation"/>
      <w:bookmarkEnd w:id="3"/>
      <w:r>
        <w:rPr>
          <w:rStyle w:val="mw-headline"/>
          <w:lang/>
        </w:rPr>
        <w:t>Principle of non-compensation</w:t>
      </w:r>
    </w:p>
    <w:p w:rsidR="009643B7" w:rsidRPr="009643B7" w:rsidRDefault="009643B7" w:rsidP="009643B7">
      <w:pPr>
        <w:pStyle w:val="NormalWeb"/>
        <w:rPr>
          <w:rFonts w:ascii="Tunga" w:hAnsi="Tunga" w:cs="Tunga"/>
          <w:sz w:val="22"/>
          <w:szCs w:val="22"/>
          <w:lang/>
        </w:rPr>
      </w:pPr>
      <w:r w:rsidRPr="009643B7">
        <w:rPr>
          <w:rFonts w:ascii="Tunga" w:hAnsi="Tunga" w:cs="Tunga"/>
          <w:sz w:val="22"/>
          <w:szCs w:val="22"/>
          <w:lang/>
        </w:rPr>
        <w:t>One should show the full details of the financial information and not seek to compensate a debt with an asset, a revenue with an expense, etc.</w:t>
      </w:r>
    </w:p>
    <w:p w:rsidR="009643B7" w:rsidRDefault="009643B7" w:rsidP="009643B7">
      <w:pPr>
        <w:pStyle w:val="Heading3"/>
        <w:rPr>
          <w:lang/>
        </w:rPr>
      </w:pPr>
      <w:bookmarkStart w:id="4" w:name="Principle_of_prudence"/>
      <w:bookmarkEnd w:id="4"/>
      <w:r>
        <w:rPr>
          <w:rStyle w:val="mw-headline"/>
          <w:lang/>
        </w:rPr>
        <w:t>Principle of prudence</w:t>
      </w:r>
    </w:p>
    <w:p w:rsidR="009643B7" w:rsidRPr="009643B7" w:rsidRDefault="009643B7" w:rsidP="009643B7">
      <w:pPr>
        <w:pStyle w:val="NormalWeb"/>
        <w:rPr>
          <w:rFonts w:ascii="Tunga" w:hAnsi="Tunga" w:cs="Tunga"/>
          <w:sz w:val="22"/>
          <w:szCs w:val="22"/>
          <w:lang/>
        </w:rPr>
      </w:pPr>
      <w:r w:rsidRPr="009643B7">
        <w:rPr>
          <w:rFonts w:ascii="Tunga" w:hAnsi="Tunga" w:cs="Tunga"/>
          <w:sz w:val="22"/>
          <w:szCs w:val="22"/>
          <w:lang/>
        </w:rPr>
        <w:t xml:space="preserve">This principle aims at showing the reality "as is" : one should not try to make things look prettier than they are. Typically, a revenue should be recorded only when it is </w:t>
      </w:r>
      <w:r w:rsidRPr="009643B7">
        <w:rPr>
          <w:rFonts w:ascii="Tunga" w:hAnsi="Tunga" w:cs="Tunga"/>
          <w:i/>
          <w:iCs/>
          <w:sz w:val="22"/>
          <w:szCs w:val="22"/>
          <w:lang/>
        </w:rPr>
        <w:t>certain</w:t>
      </w:r>
      <w:r w:rsidRPr="009643B7">
        <w:rPr>
          <w:rFonts w:ascii="Tunga" w:hAnsi="Tunga" w:cs="Tunga"/>
          <w:sz w:val="22"/>
          <w:szCs w:val="22"/>
          <w:lang/>
        </w:rPr>
        <w:t xml:space="preserve"> and a provision should be entered for an expense which is </w:t>
      </w:r>
      <w:r w:rsidRPr="009643B7">
        <w:rPr>
          <w:rFonts w:ascii="Tunga" w:hAnsi="Tunga" w:cs="Tunga"/>
          <w:i/>
          <w:iCs/>
          <w:sz w:val="22"/>
          <w:szCs w:val="22"/>
          <w:lang/>
        </w:rPr>
        <w:t>probable</w:t>
      </w:r>
      <w:r w:rsidRPr="009643B7">
        <w:rPr>
          <w:rFonts w:ascii="Tunga" w:hAnsi="Tunga" w:cs="Tunga"/>
          <w:sz w:val="22"/>
          <w:szCs w:val="22"/>
          <w:lang/>
        </w:rPr>
        <w:t>.</w:t>
      </w:r>
    </w:p>
    <w:p w:rsidR="009643B7" w:rsidRDefault="009643B7" w:rsidP="009643B7">
      <w:pPr>
        <w:pStyle w:val="Heading3"/>
        <w:rPr>
          <w:lang/>
        </w:rPr>
      </w:pPr>
      <w:bookmarkStart w:id="5" w:name="Principle_of_continuity"/>
      <w:bookmarkEnd w:id="5"/>
      <w:r>
        <w:rPr>
          <w:rStyle w:val="mw-headline"/>
          <w:lang/>
        </w:rPr>
        <w:t>Principle of continuity</w:t>
      </w:r>
    </w:p>
    <w:p w:rsidR="009643B7" w:rsidRPr="009643B7" w:rsidRDefault="009643B7" w:rsidP="009643B7">
      <w:pPr>
        <w:pStyle w:val="NormalWeb"/>
        <w:rPr>
          <w:rFonts w:ascii="Tunga" w:hAnsi="Tunga" w:cs="Tunga"/>
          <w:color w:val="000000"/>
          <w:sz w:val="22"/>
          <w:szCs w:val="22"/>
          <w:lang/>
        </w:rPr>
      </w:pPr>
      <w:r w:rsidRPr="009643B7">
        <w:rPr>
          <w:rFonts w:ascii="Tunga" w:hAnsi="Tunga" w:cs="Tunga"/>
          <w:color w:val="000000"/>
          <w:sz w:val="22"/>
          <w:szCs w:val="22"/>
          <w:lang/>
        </w:rPr>
        <w:t xml:space="preserve">When stating financial information, one should assume that the business will not be interrupted. This principle is mitigating the previous one about prudence: assets do not have to be accounted at their disposable value, but it is accepted that they are at their historical value (see </w:t>
      </w:r>
      <w:hyperlink r:id="rId21" w:tooltip="Depreciation" w:history="1">
        <w:r w:rsidRPr="00D507EA">
          <w:rPr>
            <w:rStyle w:val="Hyperlink"/>
            <w:rFonts w:ascii="Tunga" w:hAnsi="Tunga" w:cs="Tunga"/>
            <w:color w:val="000000"/>
            <w:sz w:val="22"/>
            <w:szCs w:val="22"/>
            <w:u w:val="none"/>
            <w:lang/>
          </w:rPr>
          <w:t>depreciation</w:t>
        </w:r>
      </w:hyperlink>
      <w:r w:rsidRPr="009643B7">
        <w:rPr>
          <w:rFonts w:ascii="Tunga" w:hAnsi="Tunga" w:cs="Tunga"/>
          <w:color w:val="000000"/>
          <w:sz w:val="22"/>
          <w:szCs w:val="22"/>
          <w:lang/>
        </w:rPr>
        <w:t>).</w:t>
      </w:r>
    </w:p>
    <w:p w:rsidR="009643B7" w:rsidRDefault="009643B7" w:rsidP="009643B7">
      <w:pPr>
        <w:pStyle w:val="Heading3"/>
        <w:rPr>
          <w:lang/>
        </w:rPr>
      </w:pPr>
      <w:bookmarkStart w:id="6" w:name="Principle_of_periodicity"/>
      <w:bookmarkEnd w:id="6"/>
      <w:r>
        <w:rPr>
          <w:rStyle w:val="mw-headline"/>
          <w:lang/>
        </w:rPr>
        <w:t>Principle of periodicity</w:t>
      </w:r>
    </w:p>
    <w:p w:rsidR="009643B7" w:rsidRPr="009643B7" w:rsidRDefault="009643B7" w:rsidP="009643B7">
      <w:pPr>
        <w:pStyle w:val="NormalWeb"/>
        <w:rPr>
          <w:rFonts w:ascii="Tunga" w:hAnsi="Tunga" w:cs="Tunga"/>
          <w:sz w:val="22"/>
          <w:szCs w:val="22"/>
          <w:lang/>
        </w:rPr>
      </w:pPr>
      <w:r w:rsidRPr="009643B7">
        <w:rPr>
          <w:rFonts w:ascii="Tunga" w:hAnsi="Tunga" w:cs="Tunga"/>
          <w:sz w:val="22"/>
          <w:szCs w:val="22"/>
          <w:lang/>
        </w:rPr>
        <w:t>Each accounting entry should be allocated to a given period, and split accordingly if it covers several periods. If a client pre-pays a subscription (or lease, etc.), the given revenue should be split to the entire time-span and not counted for entirely on the date of the transaction.</w:t>
      </w:r>
    </w:p>
    <w:p w:rsidR="009643B7" w:rsidRDefault="009643B7" w:rsidP="009643B7">
      <w:pPr>
        <w:pStyle w:val="Heading2"/>
        <w:rPr>
          <w:lang/>
        </w:rPr>
      </w:pPr>
      <w:bookmarkStart w:id="7" w:name="United_States.27_GAAP_Hierarchy"/>
      <w:bookmarkEnd w:id="7"/>
      <w:smartTag w:uri="urn:schemas-microsoft-com:office:smarttags" w:element="place">
        <w:smartTag w:uri="urn:schemas-microsoft-com:office:smarttags" w:element="country-region">
          <w:r>
            <w:rPr>
              <w:rStyle w:val="mw-headline"/>
              <w:lang/>
            </w:rPr>
            <w:t>United States</w:t>
          </w:r>
        </w:smartTag>
      </w:smartTag>
      <w:r>
        <w:rPr>
          <w:rStyle w:val="mw-headline"/>
          <w:lang/>
        </w:rPr>
        <w:t>' GAAP Hierarchy</w:t>
      </w:r>
    </w:p>
    <w:p w:rsidR="009643B7" w:rsidRPr="009643B7" w:rsidRDefault="009643B7" w:rsidP="009643B7">
      <w:pPr>
        <w:pStyle w:val="NormalWeb"/>
        <w:rPr>
          <w:rFonts w:ascii="Tunga" w:hAnsi="Tunga" w:cs="Tunga"/>
          <w:color w:val="000000"/>
          <w:sz w:val="22"/>
          <w:szCs w:val="22"/>
          <w:lang/>
        </w:rPr>
      </w:pPr>
      <w:r w:rsidRPr="009643B7">
        <w:rPr>
          <w:rFonts w:ascii="Tunga" w:hAnsi="Tunga" w:cs="Tunga"/>
          <w:color w:val="000000"/>
          <w:sz w:val="22"/>
          <w:szCs w:val="22"/>
          <w:lang/>
        </w:rPr>
        <w:t xml:space="preserve">In the </w:t>
      </w:r>
      <w:hyperlink r:id="rId22" w:tooltip="United States" w:history="1">
        <w:r w:rsidRPr="009643B7">
          <w:rPr>
            <w:rStyle w:val="Hyperlink"/>
            <w:rFonts w:ascii="Tunga" w:hAnsi="Tunga" w:cs="Tunga"/>
            <w:color w:val="000000"/>
            <w:sz w:val="22"/>
            <w:szCs w:val="22"/>
            <w:u w:val="none"/>
            <w:lang/>
          </w:rPr>
          <w:t>United States</w:t>
        </w:r>
      </w:hyperlink>
      <w:r w:rsidRPr="009643B7">
        <w:rPr>
          <w:rFonts w:ascii="Tunga" w:hAnsi="Tunga" w:cs="Tunga"/>
          <w:color w:val="000000"/>
          <w:sz w:val="22"/>
          <w:szCs w:val="22"/>
          <w:lang/>
        </w:rPr>
        <w:t>, GAAP derives, in order of importance, from:</w:t>
      </w:r>
    </w:p>
    <w:p w:rsidR="009643B7" w:rsidRPr="009643B7" w:rsidRDefault="009643B7" w:rsidP="009643B7">
      <w:pPr>
        <w:numPr>
          <w:ilvl w:val="0"/>
          <w:numId w:val="2"/>
        </w:numPr>
        <w:spacing w:before="100" w:beforeAutospacing="1" w:after="100" w:afterAutospacing="1"/>
        <w:rPr>
          <w:rFonts w:ascii="Tunga" w:hAnsi="Tunga" w:cs="Tunga"/>
          <w:color w:val="000000"/>
          <w:sz w:val="22"/>
          <w:szCs w:val="22"/>
          <w:lang/>
        </w:rPr>
      </w:pPr>
      <w:r w:rsidRPr="009643B7">
        <w:rPr>
          <w:rFonts w:ascii="Tunga" w:hAnsi="Tunga" w:cs="Tunga"/>
          <w:color w:val="000000"/>
          <w:sz w:val="22"/>
          <w:szCs w:val="22"/>
          <w:lang/>
        </w:rPr>
        <w:t xml:space="preserve">issuances from an authoritative body designated by the </w:t>
      </w:r>
      <w:hyperlink r:id="rId23" w:tooltip="American Institute of Certified Public Accountants" w:history="1">
        <w:r w:rsidRPr="009643B7">
          <w:rPr>
            <w:rStyle w:val="Hyperlink"/>
            <w:rFonts w:ascii="Tunga" w:hAnsi="Tunga" w:cs="Tunga"/>
            <w:color w:val="000000"/>
            <w:sz w:val="22"/>
            <w:szCs w:val="22"/>
            <w:u w:val="none"/>
            <w:lang/>
          </w:rPr>
          <w:t>American Institute of Certified Public Accountants</w:t>
        </w:r>
      </w:hyperlink>
      <w:r w:rsidRPr="009643B7">
        <w:rPr>
          <w:rFonts w:ascii="Tunga" w:hAnsi="Tunga" w:cs="Tunga"/>
          <w:color w:val="000000"/>
          <w:sz w:val="22"/>
          <w:szCs w:val="22"/>
          <w:lang/>
        </w:rPr>
        <w:t xml:space="preserve">(AICPA) Council (for example, the </w:t>
      </w:r>
      <w:hyperlink r:id="rId24" w:tooltip="Financial Accounting Standards Board" w:history="1">
        <w:r w:rsidRPr="009643B7">
          <w:rPr>
            <w:rStyle w:val="Hyperlink"/>
            <w:rFonts w:ascii="Tunga" w:hAnsi="Tunga" w:cs="Tunga"/>
            <w:color w:val="000000"/>
            <w:sz w:val="22"/>
            <w:szCs w:val="22"/>
            <w:u w:val="none"/>
            <w:lang/>
          </w:rPr>
          <w:t>Financial Accounting Standards Board</w:t>
        </w:r>
      </w:hyperlink>
      <w:r w:rsidRPr="009643B7">
        <w:rPr>
          <w:rFonts w:ascii="Tunga" w:hAnsi="Tunga" w:cs="Tunga"/>
          <w:color w:val="000000"/>
          <w:sz w:val="22"/>
          <w:szCs w:val="22"/>
          <w:lang/>
        </w:rPr>
        <w:t xml:space="preserve"> Statements, AICPA </w:t>
      </w:r>
      <w:hyperlink r:id="rId25" w:tooltip="Accounting Principles Board" w:history="1">
        <w:r w:rsidRPr="009643B7">
          <w:rPr>
            <w:rStyle w:val="Hyperlink"/>
            <w:rFonts w:ascii="Tunga" w:hAnsi="Tunga" w:cs="Tunga"/>
            <w:color w:val="000000"/>
            <w:sz w:val="22"/>
            <w:szCs w:val="22"/>
            <w:u w:val="none"/>
            <w:lang/>
          </w:rPr>
          <w:t>Accounting Principles Board</w:t>
        </w:r>
      </w:hyperlink>
      <w:r w:rsidRPr="009643B7">
        <w:rPr>
          <w:rFonts w:ascii="Tunga" w:hAnsi="Tunga" w:cs="Tunga"/>
          <w:color w:val="000000"/>
          <w:sz w:val="22"/>
          <w:szCs w:val="22"/>
          <w:lang/>
        </w:rPr>
        <w:t xml:space="preserve"> Options, and AICPA Accounting Research Bulletins); </w:t>
      </w:r>
    </w:p>
    <w:p w:rsidR="009643B7" w:rsidRPr="009643B7" w:rsidRDefault="009643B7" w:rsidP="009643B7">
      <w:pPr>
        <w:numPr>
          <w:ilvl w:val="0"/>
          <w:numId w:val="2"/>
        </w:numPr>
        <w:spacing w:before="100" w:beforeAutospacing="1" w:after="100" w:afterAutospacing="1"/>
        <w:rPr>
          <w:rFonts w:ascii="Tunga" w:hAnsi="Tunga" w:cs="Tunga"/>
          <w:color w:val="000000"/>
          <w:sz w:val="22"/>
          <w:szCs w:val="22"/>
          <w:lang/>
        </w:rPr>
      </w:pPr>
      <w:r w:rsidRPr="009643B7">
        <w:rPr>
          <w:rFonts w:ascii="Tunga" w:hAnsi="Tunga" w:cs="Tunga"/>
          <w:color w:val="000000"/>
          <w:sz w:val="22"/>
          <w:szCs w:val="22"/>
          <w:lang/>
        </w:rPr>
        <w:t xml:space="preserve">other AICPA issuances such as AICPA Industry Guides; </w:t>
      </w:r>
    </w:p>
    <w:p w:rsidR="009643B7" w:rsidRPr="009643B7" w:rsidRDefault="009643B7" w:rsidP="009643B7">
      <w:pPr>
        <w:numPr>
          <w:ilvl w:val="0"/>
          <w:numId w:val="2"/>
        </w:numPr>
        <w:spacing w:before="100" w:beforeAutospacing="1" w:after="100" w:afterAutospacing="1"/>
        <w:rPr>
          <w:rFonts w:ascii="Tunga" w:hAnsi="Tunga" w:cs="Tunga"/>
          <w:color w:val="000000"/>
          <w:sz w:val="22"/>
          <w:szCs w:val="22"/>
          <w:lang/>
        </w:rPr>
      </w:pPr>
      <w:r w:rsidRPr="009643B7">
        <w:rPr>
          <w:rFonts w:ascii="Tunga" w:hAnsi="Tunga" w:cs="Tunga"/>
          <w:color w:val="000000"/>
          <w:sz w:val="22"/>
          <w:szCs w:val="22"/>
          <w:lang/>
        </w:rPr>
        <w:t xml:space="preserve">industry practice; and </w:t>
      </w:r>
    </w:p>
    <w:p w:rsidR="00D507EA" w:rsidRDefault="009643B7" w:rsidP="00D507EA">
      <w:pPr>
        <w:numPr>
          <w:ilvl w:val="0"/>
          <w:numId w:val="2"/>
        </w:numPr>
        <w:spacing w:before="100" w:beforeAutospacing="1" w:after="100" w:afterAutospacing="1"/>
        <w:rPr>
          <w:lang/>
        </w:rPr>
      </w:pPr>
      <w:r w:rsidRPr="009643B7">
        <w:rPr>
          <w:rFonts w:ascii="Tunga" w:hAnsi="Tunga" w:cs="Tunga"/>
          <w:color w:val="000000"/>
          <w:sz w:val="22"/>
          <w:szCs w:val="22"/>
          <w:lang/>
        </w:rPr>
        <w:t>into para-accounting literature in the form of books and articles.</w:t>
      </w:r>
      <w:r>
        <w:rPr>
          <w:lang/>
        </w:rPr>
        <w:t xml:space="preserve"> </w:t>
      </w:r>
    </w:p>
    <w:p w:rsidR="00D507EA" w:rsidRDefault="00D507EA" w:rsidP="00D507EA">
      <w:pPr>
        <w:spacing w:before="100" w:beforeAutospacing="1" w:after="100" w:afterAutospacing="1"/>
        <w:ind w:left="360"/>
        <w:rPr>
          <w:lang/>
        </w:rPr>
      </w:pPr>
    </w:p>
    <w:p w:rsidR="00FB5FD5" w:rsidRDefault="00FB5FD5" w:rsidP="00D507EA">
      <w:pPr>
        <w:spacing w:before="100" w:beforeAutospacing="1" w:after="100" w:afterAutospacing="1"/>
        <w:ind w:left="360"/>
        <w:rPr>
          <w:lang/>
        </w:rPr>
      </w:pPr>
    </w:p>
    <w:p w:rsidR="00D507EA" w:rsidRDefault="00D507EA" w:rsidP="00D507EA">
      <w:pPr>
        <w:spacing w:before="100" w:beforeAutospacing="1" w:after="100" w:afterAutospacing="1"/>
        <w:ind w:left="360"/>
        <w:rPr>
          <w:lang/>
        </w:rPr>
      </w:pPr>
    </w:p>
    <w:tbl>
      <w:tblPr>
        <w:tblW w:w="0" w:type="auto"/>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1378"/>
        <w:gridCol w:w="2233"/>
        <w:gridCol w:w="1333"/>
        <w:gridCol w:w="1265"/>
        <w:gridCol w:w="2551"/>
      </w:tblGrid>
      <w:tr w:rsidR="009643B7">
        <w:trPr>
          <w:tblCellSpacing w:w="15" w:type="dxa"/>
        </w:trPr>
        <w:tc>
          <w:tcPr>
            <w:tcW w:w="750" w:type="pct"/>
            <w:vAlign w:val="center"/>
          </w:tcPr>
          <w:p w:rsidR="009643B7" w:rsidRDefault="009643B7"/>
        </w:tc>
        <w:tc>
          <w:tcPr>
            <w:tcW w:w="0" w:type="auto"/>
            <w:gridSpan w:val="4"/>
            <w:shd w:val="clear" w:color="auto" w:fill="auto"/>
            <w:vAlign w:val="center"/>
          </w:tcPr>
          <w:p w:rsidR="009643B7" w:rsidRPr="009643B7" w:rsidRDefault="009643B7">
            <w:pPr>
              <w:jc w:val="center"/>
              <w:rPr>
                <w:rFonts w:ascii="Tunga" w:hAnsi="Tunga" w:cs="Tunga"/>
                <w:b/>
                <w:bCs/>
                <w:sz w:val="22"/>
                <w:szCs w:val="22"/>
              </w:rPr>
            </w:pPr>
            <w:r w:rsidRPr="009643B7">
              <w:rPr>
                <w:rFonts w:ascii="Tunga" w:hAnsi="Tunga" w:cs="Tunga"/>
                <w:b/>
                <w:bCs/>
                <w:sz w:val="22"/>
                <w:szCs w:val="22"/>
              </w:rPr>
              <w:t>House of GAAP</w:t>
            </w:r>
          </w:p>
        </w:tc>
      </w:tr>
      <w:tr w:rsidR="009643B7">
        <w:trPr>
          <w:tblCellSpacing w:w="15" w:type="dxa"/>
        </w:trPr>
        <w:tc>
          <w:tcPr>
            <w:tcW w:w="0" w:type="auto"/>
            <w:vAlign w:val="center"/>
          </w:tcPr>
          <w:p w:rsidR="009643B7" w:rsidRPr="009643B7" w:rsidRDefault="004476C7">
            <w:pPr>
              <w:rPr>
                <w:rFonts w:ascii="Tunga" w:hAnsi="Tunga" w:cs="Tunga"/>
                <w:sz w:val="22"/>
                <w:szCs w:val="22"/>
              </w:rPr>
            </w:pPr>
            <w:r>
              <w:rPr>
                <w:rFonts w:ascii="Tunga" w:hAnsi="Tunga" w:cs="Tunga"/>
                <w:sz w:val="22"/>
                <w:szCs w:val="22"/>
              </w:rPr>
              <w:t>Category (A</w:t>
            </w:r>
            <w:r w:rsidR="009643B7" w:rsidRPr="009643B7">
              <w:rPr>
                <w:rFonts w:ascii="Tunga" w:hAnsi="Tunga" w:cs="Tunga"/>
                <w:sz w:val="22"/>
                <w:szCs w:val="22"/>
              </w:rPr>
              <w:t>)</w:t>
            </w:r>
            <w:r w:rsidR="009643B7" w:rsidRPr="009643B7">
              <w:rPr>
                <w:rFonts w:ascii="Tunga" w:hAnsi="Tunga" w:cs="Tunga"/>
                <w:sz w:val="22"/>
                <w:szCs w:val="22"/>
              </w:rPr>
              <w:br/>
              <w:t>(Most authoritative)</w:t>
            </w:r>
          </w:p>
        </w:tc>
        <w:tc>
          <w:tcPr>
            <w:tcW w:w="0" w:type="auto"/>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FASB Standards and Interpretations</w:t>
            </w:r>
          </w:p>
        </w:tc>
        <w:tc>
          <w:tcPr>
            <w:tcW w:w="0" w:type="auto"/>
            <w:gridSpan w:val="2"/>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Accounting Principles Board (APB) Opinions</w:t>
            </w:r>
          </w:p>
        </w:tc>
        <w:tc>
          <w:tcPr>
            <w:tcW w:w="0" w:type="auto"/>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AICPA Accounting Research Bulletins (ARBs)</w:t>
            </w:r>
          </w:p>
        </w:tc>
      </w:tr>
      <w:tr w:rsidR="009643B7">
        <w:trPr>
          <w:tblCellSpacing w:w="15" w:type="dxa"/>
        </w:trPr>
        <w:tc>
          <w:tcPr>
            <w:tcW w:w="0" w:type="auto"/>
            <w:vAlign w:val="center"/>
          </w:tcPr>
          <w:p w:rsidR="009643B7" w:rsidRPr="009643B7" w:rsidRDefault="004476C7">
            <w:pPr>
              <w:rPr>
                <w:rFonts w:ascii="Tunga" w:hAnsi="Tunga" w:cs="Tunga"/>
                <w:sz w:val="22"/>
                <w:szCs w:val="22"/>
              </w:rPr>
            </w:pPr>
            <w:r>
              <w:rPr>
                <w:rFonts w:ascii="Tunga" w:hAnsi="Tunga" w:cs="Tunga"/>
                <w:sz w:val="22"/>
                <w:szCs w:val="22"/>
              </w:rPr>
              <w:t>Category (B</w:t>
            </w:r>
            <w:r w:rsidR="009643B7" w:rsidRPr="009643B7">
              <w:rPr>
                <w:rFonts w:ascii="Tunga" w:hAnsi="Tunga" w:cs="Tunga"/>
                <w:sz w:val="22"/>
                <w:szCs w:val="22"/>
              </w:rPr>
              <w:t>)</w:t>
            </w:r>
          </w:p>
        </w:tc>
        <w:tc>
          <w:tcPr>
            <w:tcW w:w="0" w:type="auto"/>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FASB Technical Bulletins</w:t>
            </w:r>
          </w:p>
        </w:tc>
        <w:tc>
          <w:tcPr>
            <w:tcW w:w="0" w:type="auto"/>
            <w:gridSpan w:val="2"/>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AICPA Industry Audit and Accounting Guides</w:t>
            </w:r>
          </w:p>
        </w:tc>
        <w:tc>
          <w:tcPr>
            <w:tcW w:w="0" w:type="auto"/>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AICPA Statements of Position (SOPs)</w:t>
            </w:r>
          </w:p>
        </w:tc>
      </w:tr>
      <w:tr w:rsidR="009643B7">
        <w:trPr>
          <w:tblCellSpacing w:w="15" w:type="dxa"/>
        </w:trPr>
        <w:tc>
          <w:tcPr>
            <w:tcW w:w="0" w:type="auto"/>
            <w:vAlign w:val="center"/>
          </w:tcPr>
          <w:p w:rsidR="009643B7" w:rsidRPr="009643B7" w:rsidRDefault="004476C7">
            <w:pPr>
              <w:rPr>
                <w:rFonts w:ascii="Tunga" w:hAnsi="Tunga" w:cs="Tunga"/>
                <w:sz w:val="22"/>
                <w:szCs w:val="22"/>
              </w:rPr>
            </w:pPr>
            <w:r>
              <w:rPr>
                <w:rFonts w:ascii="Tunga" w:hAnsi="Tunga" w:cs="Tunga"/>
                <w:sz w:val="22"/>
                <w:szCs w:val="22"/>
              </w:rPr>
              <w:t>Category (C</w:t>
            </w:r>
            <w:r w:rsidR="009643B7" w:rsidRPr="009643B7">
              <w:rPr>
                <w:rFonts w:ascii="Tunga" w:hAnsi="Tunga" w:cs="Tunga"/>
                <w:sz w:val="22"/>
                <w:szCs w:val="22"/>
              </w:rPr>
              <w:t>)</w:t>
            </w:r>
          </w:p>
        </w:tc>
        <w:tc>
          <w:tcPr>
            <w:tcW w:w="0" w:type="auto"/>
            <w:gridSpan w:val="2"/>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FASB Emerging Issues Task Force (EITF)</w:t>
            </w:r>
          </w:p>
        </w:tc>
        <w:tc>
          <w:tcPr>
            <w:tcW w:w="0" w:type="auto"/>
            <w:gridSpan w:val="2"/>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AICPA AcSEC Practice Bulletins</w:t>
            </w:r>
          </w:p>
        </w:tc>
      </w:tr>
      <w:tr w:rsidR="009643B7">
        <w:trPr>
          <w:tblCellSpacing w:w="15" w:type="dxa"/>
        </w:trPr>
        <w:tc>
          <w:tcPr>
            <w:tcW w:w="0" w:type="auto"/>
            <w:vAlign w:val="center"/>
          </w:tcPr>
          <w:p w:rsidR="009643B7" w:rsidRPr="009643B7" w:rsidRDefault="004476C7">
            <w:pPr>
              <w:rPr>
                <w:rFonts w:ascii="Tunga" w:hAnsi="Tunga" w:cs="Tunga"/>
                <w:sz w:val="22"/>
                <w:szCs w:val="22"/>
              </w:rPr>
            </w:pPr>
            <w:r>
              <w:rPr>
                <w:rFonts w:ascii="Tunga" w:hAnsi="Tunga" w:cs="Tunga"/>
                <w:sz w:val="22"/>
                <w:szCs w:val="22"/>
              </w:rPr>
              <w:t>Category (D</w:t>
            </w:r>
            <w:r w:rsidR="009643B7" w:rsidRPr="009643B7">
              <w:rPr>
                <w:rFonts w:ascii="Tunga" w:hAnsi="Tunga" w:cs="Tunga"/>
                <w:sz w:val="22"/>
                <w:szCs w:val="22"/>
              </w:rPr>
              <w:t>)</w:t>
            </w:r>
            <w:r w:rsidR="009643B7" w:rsidRPr="009643B7">
              <w:rPr>
                <w:rFonts w:ascii="Tunga" w:hAnsi="Tunga" w:cs="Tunga"/>
                <w:sz w:val="22"/>
                <w:szCs w:val="22"/>
              </w:rPr>
              <w:br/>
              <w:t>(Least authoritative)</w:t>
            </w:r>
          </w:p>
        </w:tc>
        <w:tc>
          <w:tcPr>
            <w:tcW w:w="0" w:type="auto"/>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AICPA Accounting Interpretations</w:t>
            </w:r>
          </w:p>
        </w:tc>
        <w:tc>
          <w:tcPr>
            <w:tcW w:w="0" w:type="auto"/>
            <w:gridSpan w:val="2"/>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FASB Implementation Guides (Q and A)</w:t>
            </w:r>
          </w:p>
        </w:tc>
        <w:tc>
          <w:tcPr>
            <w:tcW w:w="0" w:type="auto"/>
            <w:shd w:val="clear" w:color="auto" w:fill="auto"/>
            <w:vAlign w:val="center"/>
          </w:tcPr>
          <w:p w:rsidR="009643B7" w:rsidRPr="009643B7" w:rsidRDefault="009643B7">
            <w:pPr>
              <w:jc w:val="center"/>
              <w:rPr>
                <w:rFonts w:ascii="Tunga" w:hAnsi="Tunga" w:cs="Tunga"/>
                <w:sz w:val="22"/>
                <w:szCs w:val="22"/>
              </w:rPr>
            </w:pPr>
            <w:r w:rsidRPr="009643B7">
              <w:rPr>
                <w:rFonts w:ascii="Tunga" w:hAnsi="Tunga" w:cs="Tunga"/>
                <w:sz w:val="22"/>
                <w:szCs w:val="22"/>
              </w:rPr>
              <w:t>Widely recognized and prevalent industry practices</w:t>
            </w:r>
          </w:p>
        </w:tc>
      </w:tr>
    </w:tbl>
    <w:p w:rsidR="009643B7" w:rsidRPr="00D507EA" w:rsidRDefault="009643B7" w:rsidP="00D507EA">
      <w:pPr>
        <w:pStyle w:val="NormalWeb"/>
        <w:rPr>
          <w:rFonts w:ascii="Tunga" w:hAnsi="Tunga" w:cs="Tunga"/>
          <w:sz w:val="22"/>
          <w:szCs w:val="22"/>
          <w:lang/>
        </w:rPr>
      </w:pPr>
      <w:r w:rsidRPr="00D507EA">
        <w:rPr>
          <w:rFonts w:ascii="Tunga" w:hAnsi="Tunga" w:cs="Tunga"/>
          <w:sz w:val="22"/>
          <w:szCs w:val="22"/>
          <w:lang/>
        </w:rPr>
        <w:t>Category A and B are considered authoritative. Category C and D are considered marginally authoritative, thoughts on interesting and unique issues, but could be invalid given a large level of materialism. Category C and D are considered a talking and reasoning phase of br</w:t>
      </w:r>
      <w:r w:rsidR="004476C7">
        <w:rPr>
          <w:rFonts w:ascii="Tunga" w:hAnsi="Tunga" w:cs="Tunga"/>
          <w:sz w:val="22"/>
          <w:szCs w:val="22"/>
          <w:lang/>
        </w:rPr>
        <w:t>inging issues to an authorize</w:t>
      </w:r>
      <w:r w:rsidRPr="00D507EA">
        <w:rPr>
          <w:rFonts w:ascii="Tunga" w:hAnsi="Tunga" w:cs="Tunga"/>
          <w:sz w:val="22"/>
          <w:szCs w:val="22"/>
          <w:lang/>
        </w:rPr>
        <w:t xml:space="preserve"> level of GAAP.</w:t>
      </w:r>
    </w:p>
    <w:p w:rsidR="009643B7" w:rsidRDefault="009643B7" w:rsidP="00D507EA">
      <w:pPr>
        <w:pStyle w:val="Heading2"/>
        <w:rPr>
          <w:lang/>
        </w:rPr>
      </w:pPr>
      <w:bookmarkStart w:id="8" w:name="National_GAAP"/>
      <w:bookmarkEnd w:id="8"/>
      <w:r>
        <w:rPr>
          <w:rStyle w:val="mw-headline"/>
          <w:lang/>
        </w:rPr>
        <w:t>National GAAP</w:t>
      </w:r>
    </w:p>
    <w:p w:rsidR="009643B7" w:rsidRPr="00D507EA" w:rsidRDefault="009643B7" w:rsidP="00D507EA">
      <w:pPr>
        <w:pStyle w:val="NormalWeb"/>
        <w:rPr>
          <w:rFonts w:ascii="Tunga" w:hAnsi="Tunga" w:cs="Tunga"/>
          <w:color w:val="000000"/>
          <w:sz w:val="22"/>
          <w:szCs w:val="22"/>
          <w:lang/>
        </w:rPr>
      </w:pPr>
      <w:r w:rsidRPr="00D507EA">
        <w:rPr>
          <w:rFonts w:ascii="Tunga" w:hAnsi="Tunga" w:cs="Tunga"/>
          <w:color w:val="000000"/>
          <w:sz w:val="22"/>
          <w:szCs w:val="22"/>
          <w:lang/>
        </w:rPr>
        <w:t xml:space="preserve">Every country has their own </w:t>
      </w:r>
      <w:hyperlink r:id="rId26" w:tooltip="Standard accounting practice" w:history="1">
        <w:r w:rsidRPr="00D507EA">
          <w:rPr>
            <w:rStyle w:val="Hyperlink"/>
            <w:rFonts w:ascii="Tunga" w:hAnsi="Tunga" w:cs="Tunga"/>
            <w:color w:val="000000"/>
            <w:sz w:val="22"/>
            <w:szCs w:val="22"/>
            <w:u w:val="none"/>
            <w:lang/>
          </w:rPr>
          <w:t>version</w:t>
        </w:r>
      </w:hyperlink>
      <w:r w:rsidRPr="00D507EA">
        <w:rPr>
          <w:rFonts w:ascii="Tunga" w:hAnsi="Tunga" w:cs="Tunga"/>
          <w:color w:val="000000"/>
          <w:sz w:val="22"/>
          <w:szCs w:val="22"/>
          <w:lang/>
        </w:rPr>
        <w:t xml:space="preserve"> of GAAP with standards set by a national governing body.</w:t>
      </w:r>
    </w:p>
    <w:p w:rsidR="009643B7" w:rsidRDefault="009643B7" w:rsidP="00D507EA">
      <w:pPr>
        <w:pStyle w:val="Heading2"/>
        <w:rPr>
          <w:lang/>
        </w:rPr>
      </w:pPr>
      <w:bookmarkStart w:id="9" w:name="Required_Departures_from_GAAP"/>
      <w:bookmarkEnd w:id="9"/>
      <w:r>
        <w:rPr>
          <w:rStyle w:val="mw-headline"/>
          <w:lang/>
        </w:rPr>
        <w:t>Required Departures from GAAP</w:t>
      </w:r>
    </w:p>
    <w:p w:rsidR="009643B7" w:rsidRPr="00D507EA" w:rsidRDefault="009643B7" w:rsidP="00D507EA">
      <w:pPr>
        <w:pStyle w:val="NormalWeb"/>
        <w:rPr>
          <w:rFonts w:ascii="Tunga" w:hAnsi="Tunga" w:cs="Tunga"/>
          <w:color w:val="000000"/>
          <w:sz w:val="22"/>
          <w:szCs w:val="22"/>
          <w:lang/>
        </w:rPr>
      </w:pPr>
      <w:r w:rsidRPr="00D507EA">
        <w:rPr>
          <w:rFonts w:ascii="Tunga" w:hAnsi="Tunga" w:cs="Tunga"/>
          <w:color w:val="000000"/>
          <w:sz w:val="22"/>
          <w:szCs w:val="22"/>
          <w:lang/>
        </w:rPr>
        <w:t xml:space="preserve">Under the AICPA's Code of Professional Ethics under Rule 203 - Accounting Principles, a member must depart from GAAP if following it would lead to a material misstatement on the financial statements, or otherwise be misleading. In the departure the member must disclose, if practicable, the reasons why compliance with the accounting principle would result in a misleading financial statement. Under Rule 203-1-Departures from Established Accounting Principles, the departures are rare, and usually take place when there is new legislation, the evolution of new forms of business transactions, an unusual degree of materiality, or the existence of conflicting industry practices. This is taken from the Page 56 in the auditing textbook "Auditing, an integrated approach" by Alvin Arens and James Loebbecke, published in 1980 by Prentise Hall, </w:t>
      </w:r>
      <w:hyperlink r:id="rId27" w:history="1">
        <w:r w:rsidRPr="00D507EA">
          <w:rPr>
            <w:rStyle w:val="Hyperlink"/>
            <w:rFonts w:ascii="Tunga" w:hAnsi="Tunga" w:cs="Tunga"/>
            <w:color w:val="000000"/>
            <w:sz w:val="22"/>
            <w:szCs w:val="22"/>
            <w:u w:val="none"/>
            <w:lang/>
          </w:rPr>
          <w:t>ISBN 0-13-051656-2</w:t>
        </w:r>
      </w:hyperlink>
      <w:r w:rsidRPr="00D507EA">
        <w:rPr>
          <w:rFonts w:ascii="Tunga" w:hAnsi="Tunga" w:cs="Tunga"/>
          <w:color w:val="000000"/>
          <w:sz w:val="22"/>
          <w:szCs w:val="22"/>
          <w:lang/>
        </w:rPr>
        <w:t>.</w:t>
      </w:r>
    </w:p>
    <w:p w:rsidR="009643B7" w:rsidRDefault="009643B7" w:rsidP="00D507EA">
      <w:pPr>
        <w:pStyle w:val="Heading2"/>
        <w:rPr>
          <w:lang/>
        </w:rPr>
      </w:pPr>
      <w:bookmarkStart w:id="10" w:name="International_GAAP"/>
      <w:bookmarkEnd w:id="10"/>
      <w:r>
        <w:rPr>
          <w:rStyle w:val="mw-headline"/>
          <w:lang/>
        </w:rPr>
        <w:t>International GAAP</w:t>
      </w:r>
    </w:p>
    <w:p w:rsidR="009643B7" w:rsidRPr="00D507EA" w:rsidRDefault="009643B7" w:rsidP="00D507EA">
      <w:pPr>
        <w:pStyle w:val="NormalWeb"/>
        <w:rPr>
          <w:rFonts w:ascii="Tunga" w:hAnsi="Tunga" w:cs="Tunga"/>
          <w:color w:val="000000"/>
          <w:sz w:val="22"/>
          <w:szCs w:val="22"/>
          <w:lang/>
        </w:rPr>
      </w:pPr>
      <w:r w:rsidRPr="00D507EA">
        <w:rPr>
          <w:rFonts w:ascii="Tunga" w:hAnsi="Tunga" w:cs="Tunga"/>
          <w:color w:val="000000"/>
          <w:sz w:val="22"/>
          <w:szCs w:val="22"/>
          <w:lang/>
        </w:rPr>
        <w:t xml:space="preserve">Due to </w:t>
      </w:r>
      <w:hyperlink r:id="rId28" w:tooltip="Globalisation" w:history="1">
        <w:r w:rsidRPr="00D507EA">
          <w:rPr>
            <w:rStyle w:val="Hyperlink"/>
            <w:rFonts w:ascii="Tunga" w:hAnsi="Tunga" w:cs="Tunga"/>
            <w:color w:val="000000"/>
            <w:sz w:val="22"/>
            <w:szCs w:val="22"/>
            <w:u w:val="none"/>
            <w:lang/>
          </w:rPr>
          <w:t>globalisation</w:t>
        </w:r>
      </w:hyperlink>
      <w:r w:rsidRPr="00D507EA">
        <w:rPr>
          <w:rFonts w:ascii="Tunga" w:hAnsi="Tunga" w:cs="Tunga"/>
          <w:color w:val="000000"/>
          <w:sz w:val="22"/>
          <w:szCs w:val="22"/>
          <w:lang/>
        </w:rPr>
        <w:t xml:space="preserve">, </w:t>
      </w:r>
      <w:hyperlink r:id="rId29" w:tooltip="International Financial Reporting Standards" w:history="1">
        <w:r w:rsidRPr="00D507EA">
          <w:rPr>
            <w:rStyle w:val="Hyperlink"/>
            <w:rFonts w:ascii="Tunga" w:hAnsi="Tunga" w:cs="Tunga"/>
            <w:color w:val="000000"/>
            <w:sz w:val="22"/>
            <w:szCs w:val="22"/>
            <w:u w:val="none"/>
            <w:lang/>
          </w:rPr>
          <w:t>International Financial Reporting Standards</w:t>
        </w:r>
      </w:hyperlink>
      <w:r w:rsidRPr="00D507EA">
        <w:rPr>
          <w:rFonts w:ascii="Tunga" w:hAnsi="Tunga" w:cs="Tunga"/>
          <w:color w:val="000000"/>
          <w:sz w:val="22"/>
          <w:szCs w:val="22"/>
          <w:lang/>
        </w:rPr>
        <w:t xml:space="preserve"> are required and established by </w:t>
      </w:r>
      <w:hyperlink r:id="rId30" w:tooltip="International Accounting Standards Committee" w:history="1">
        <w:r w:rsidRPr="00D507EA">
          <w:rPr>
            <w:rStyle w:val="Hyperlink"/>
            <w:rFonts w:ascii="Tunga" w:hAnsi="Tunga" w:cs="Tunga"/>
            <w:color w:val="000000"/>
            <w:sz w:val="22"/>
            <w:szCs w:val="22"/>
            <w:u w:val="none"/>
            <w:lang/>
          </w:rPr>
          <w:t>International Accounting Standards Committee</w:t>
        </w:r>
      </w:hyperlink>
      <w:r w:rsidRPr="00D507EA">
        <w:rPr>
          <w:rFonts w:ascii="Tunga" w:hAnsi="Tunga" w:cs="Tunga"/>
          <w:color w:val="000000"/>
          <w:sz w:val="22"/>
          <w:szCs w:val="22"/>
          <w:lang/>
        </w:rPr>
        <w:t>.</w:t>
      </w:r>
    </w:p>
    <w:p w:rsidR="00D507EA" w:rsidRDefault="00D507EA" w:rsidP="00D507EA">
      <w:pPr>
        <w:jc w:val="right"/>
        <w:rPr>
          <w:i/>
          <w:iCs/>
          <w:sz w:val="19"/>
          <w:szCs w:val="19"/>
          <w:lang/>
        </w:rPr>
      </w:pPr>
      <w:bookmarkStart w:id="11" w:name="See_also"/>
      <w:bookmarkStart w:id="12" w:name="External_links"/>
      <w:bookmarkEnd w:id="11"/>
      <w:bookmarkEnd w:id="12"/>
    </w:p>
    <w:p w:rsidR="00D507EA" w:rsidRDefault="00D507EA" w:rsidP="00D507EA">
      <w:pPr>
        <w:jc w:val="right"/>
        <w:rPr>
          <w:i/>
          <w:iCs/>
          <w:sz w:val="19"/>
          <w:szCs w:val="19"/>
          <w:lang/>
        </w:rPr>
      </w:pPr>
    </w:p>
    <w:p w:rsidR="00D507EA" w:rsidRDefault="00D507EA" w:rsidP="00D507EA">
      <w:pPr>
        <w:jc w:val="right"/>
        <w:rPr>
          <w:i/>
          <w:iCs/>
          <w:sz w:val="19"/>
          <w:szCs w:val="19"/>
          <w:lang/>
        </w:rPr>
      </w:pPr>
      <w:r>
        <w:rPr>
          <w:i/>
          <w:iCs/>
          <w:sz w:val="19"/>
          <w:szCs w:val="19"/>
          <w:lang/>
        </w:rPr>
        <w:t>    </w:t>
      </w:r>
    </w:p>
    <w:p w:rsidR="00D507EA" w:rsidRPr="00D507EA" w:rsidRDefault="00D507EA" w:rsidP="00D507EA">
      <w:pPr>
        <w:pStyle w:val="Heading1"/>
        <w:rPr>
          <w:color w:val="000000"/>
          <w:sz w:val="44"/>
          <w:szCs w:val="44"/>
          <w:lang/>
        </w:rPr>
      </w:pPr>
      <w:r w:rsidRPr="00D507EA">
        <w:rPr>
          <w:color w:val="000000"/>
          <w:sz w:val="44"/>
          <w:szCs w:val="44"/>
          <w:lang/>
        </w:rPr>
        <w:lastRenderedPageBreak/>
        <w:t>Generally Accepted Accounting Principles (</w:t>
      </w:r>
      <w:smartTag w:uri="urn:schemas-microsoft-com:office:smarttags" w:element="place">
        <w:smartTag w:uri="urn:schemas-microsoft-com:office:smarttags" w:element="country-region">
          <w:r w:rsidRPr="00D507EA">
            <w:rPr>
              <w:color w:val="000000"/>
              <w:sz w:val="44"/>
              <w:szCs w:val="44"/>
              <w:lang/>
            </w:rPr>
            <w:t>USA</w:t>
          </w:r>
        </w:smartTag>
      </w:smartTag>
      <w:r w:rsidRPr="00D507EA">
        <w:rPr>
          <w:color w:val="000000"/>
          <w:sz w:val="44"/>
          <w:szCs w:val="44"/>
          <w:lang/>
        </w:rPr>
        <w:t>)</w:t>
      </w:r>
    </w:p>
    <w:p w:rsidR="00D507EA" w:rsidRPr="00125F63" w:rsidRDefault="00D507EA" w:rsidP="00D507EA">
      <w:pPr>
        <w:pStyle w:val="NormalWeb"/>
        <w:rPr>
          <w:rFonts w:ascii="Tunga" w:hAnsi="Tunga" w:cs="Tunga"/>
          <w:color w:val="000000"/>
          <w:sz w:val="22"/>
          <w:szCs w:val="22"/>
          <w:lang/>
        </w:rPr>
      </w:pPr>
      <w:r w:rsidRPr="00125F63">
        <w:rPr>
          <w:rFonts w:ascii="Tunga" w:hAnsi="Tunga" w:cs="Tunga"/>
          <w:bCs/>
          <w:color w:val="000000"/>
          <w:sz w:val="22"/>
          <w:szCs w:val="22"/>
          <w:lang/>
        </w:rPr>
        <w:t>This article or section is in need of attention from an expert on the subject.</w:t>
      </w:r>
      <w:r w:rsidRPr="00125F63">
        <w:rPr>
          <w:rFonts w:ascii="Tunga" w:hAnsi="Tunga" w:cs="Tunga"/>
          <w:color w:val="000000"/>
          <w:sz w:val="22"/>
          <w:szCs w:val="22"/>
          <w:lang/>
        </w:rPr>
        <w:br/>
      </w:r>
      <w:hyperlink r:id="rId31" w:tooltip="Wikipedia:WikiProject Economics" w:history="1">
        <w:r w:rsidRPr="00125F63">
          <w:rPr>
            <w:rStyle w:val="Hyperlink"/>
            <w:rFonts w:ascii="Tunga" w:hAnsi="Tunga" w:cs="Tunga"/>
            <w:color w:val="000000"/>
            <w:sz w:val="22"/>
            <w:szCs w:val="22"/>
            <w:u w:val="none"/>
            <w:lang/>
          </w:rPr>
          <w:t>WikiProject Economics</w:t>
        </w:r>
      </w:hyperlink>
      <w:r w:rsidRPr="00125F63">
        <w:rPr>
          <w:rFonts w:ascii="Tunga" w:hAnsi="Tunga" w:cs="Tunga"/>
          <w:color w:val="000000"/>
          <w:sz w:val="22"/>
          <w:szCs w:val="22"/>
          <w:lang/>
        </w:rPr>
        <w:t xml:space="preserve"> or the </w:t>
      </w:r>
      <w:hyperlink r:id="rId32" w:tooltip="Portal:Economics" w:history="1">
        <w:r w:rsidRPr="00125F63">
          <w:rPr>
            <w:rStyle w:val="Hyperlink"/>
            <w:rFonts w:ascii="Tunga" w:hAnsi="Tunga" w:cs="Tunga"/>
            <w:color w:val="000000"/>
            <w:sz w:val="22"/>
            <w:szCs w:val="22"/>
            <w:u w:val="none"/>
            <w:lang/>
          </w:rPr>
          <w:t>Economics Portal</w:t>
        </w:r>
      </w:hyperlink>
      <w:r w:rsidRPr="00125F63">
        <w:rPr>
          <w:rFonts w:ascii="Tunga" w:hAnsi="Tunga" w:cs="Tunga"/>
          <w:color w:val="000000"/>
          <w:sz w:val="22"/>
          <w:szCs w:val="22"/>
          <w:lang/>
        </w:rPr>
        <w:t xml:space="preserve"> may be able to help recruit one.</w:t>
      </w:r>
      <w:r w:rsidRPr="00125F63">
        <w:rPr>
          <w:rFonts w:ascii="Tunga" w:hAnsi="Tunga" w:cs="Tunga"/>
          <w:color w:val="000000"/>
          <w:sz w:val="22"/>
          <w:szCs w:val="22"/>
          <w:lang/>
        </w:rPr>
        <w:br/>
        <w:t xml:space="preserve">If a more appropriate </w:t>
      </w:r>
      <w:hyperlink r:id="rId33" w:tooltip="Wikipedia:WikiProject" w:history="1">
        <w:r w:rsidRPr="00125F63">
          <w:rPr>
            <w:rStyle w:val="Hyperlink"/>
            <w:rFonts w:ascii="Tunga" w:hAnsi="Tunga" w:cs="Tunga"/>
            <w:color w:val="000000"/>
            <w:sz w:val="22"/>
            <w:szCs w:val="22"/>
            <w:u w:val="none"/>
            <w:lang/>
          </w:rPr>
          <w:t>WikiProject</w:t>
        </w:r>
      </w:hyperlink>
      <w:r w:rsidRPr="00125F63">
        <w:rPr>
          <w:rFonts w:ascii="Tunga" w:hAnsi="Tunga" w:cs="Tunga"/>
          <w:color w:val="000000"/>
          <w:sz w:val="22"/>
          <w:szCs w:val="22"/>
          <w:lang/>
        </w:rPr>
        <w:t xml:space="preserve"> or </w:t>
      </w:r>
      <w:hyperlink r:id="rId34" w:tooltip="Portal:List of portals" w:history="1">
        <w:r w:rsidRPr="00125F63">
          <w:rPr>
            <w:rStyle w:val="Hyperlink"/>
            <w:rFonts w:ascii="Tunga" w:hAnsi="Tunga" w:cs="Tunga"/>
            <w:color w:val="000000"/>
            <w:sz w:val="22"/>
            <w:szCs w:val="22"/>
            <w:u w:val="none"/>
            <w:lang/>
          </w:rPr>
          <w:t>portal</w:t>
        </w:r>
      </w:hyperlink>
      <w:r w:rsidRPr="00125F63">
        <w:rPr>
          <w:rFonts w:ascii="Tunga" w:hAnsi="Tunga" w:cs="Tunga"/>
          <w:color w:val="000000"/>
          <w:sz w:val="22"/>
          <w:szCs w:val="22"/>
          <w:lang/>
        </w:rPr>
        <w:t xml:space="preserve"> exists, please adjust this template accordingly.</w:t>
      </w:r>
    </w:p>
    <w:p w:rsidR="00D507EA" w:rsidRPr="00125F63" w:rsidRDefault="00D507EA" w:rsidP="00D507EA">
      <w:pPr>
        <w:pStyle w:val="NormalWeb"/>
        <w:rPr>
          <w:rFonts w:ascii="Tunga" w:hAnsi="Tunga" w:cs="Tunga"/>
          <w:color w:val="000000"/>
          <w:sz w:val="22"/>
          <w:szCs w:val="22"/>
          <w:lang/>
        </w:rPr>
      </w:pPr>
      <w:r w:rsidRPr="00125F63">
        <w:rPr>
          <w:rFonts w:ascii="Tunga" w:hAnsi="Tunga" w:cs="Tunga"/>
          <w:bCs/>
          <w:color w:val="000000"/>
          <w:sz w:val="22"/>
          <w:szCs w:val="22"/>
          <w:lang/>
        </w:rPr>
        <w:t>Generally accepted accounting principles</w:t>
      </w:r>
      <w:r w:rsidRPr="00125F63">
        <w:rPr>
          <w:rFonts w:ascii="Tunga" w:hAnsi="Tunga" w:cs="Tunga"/>
          <w:color w:val="000000"/>
          <w:sz w:val="22"/>
          <w:szCs w:val="22"/>
          <w:lang/>
        </w:rPr>
        <w:t xml:space="preserve"> or </w:t>
      </w:r>
      <w:r w:rsidRPr="00125F63">
        <w:rPr>
          <w:rFonts w:ascii="Tunga" w:hAnsi="Tunga" w:cs="Tunga"/>
          <w:bCs/>
          <w:color w:val="000000"/>
          <w:sz w:val="22"/>
          <w:szCs w:val="22"/>
          <w:lang/>
        </w:rPr>
        <w:t>US GAAP</w:t>
      </w:r>
      <w:r w:rsidRPr="00125F63">
        <w:rPr>
          <w:rFonts w:ascii="Tunga" w:hAnsi="Tunga" w:cs="Tunga"/>
          <w:color w:val="000000"/>
          <w:sz w:val="22"/>
          <w:szCs w:val="22"/>
          <w:lang/>
        </w:rPr>
        <w:t xml:space="preserve"> are the </w:t>
      </w:r>
      <w:hyperlink r:id="rId35" w:tooltip="Generally Accepted Accounting Principles" w:history="1">
        <w:r w:rsidRPr="00125F63">
          <w:rPr>
            <w:rStyle w:val="Hyperlink"/>
            <w:rFonts w:ascii="Tunga" w:hAnsi="Tunga" w:cs="Tunga"/>
            <w:color w:val="000000"/>
            <w:sz w:val="22"/>
            <w:szCs w:val="22"/>
            <w:u w:val="none"/>
            <w:lang/>
          </w:rPr>
          <w:t>accounting rules</w:t>
        </w:r>
      </w:hyperlink>
      <w:r w:rsidRPr="00125F63">
        <w:rPr>
          <w:rFonts w:ascii="Tunga" w:hAnsi="Tunga" w:cs="Tunga"/>
          <w:color w:val="000000"/>
          <w:sz w:val="22"/>
          <w:szCs w:val="22"/>
          <w:lang/>
        </w:rPr>
        <w:t xml:space="preserve"> used to prepare </w:t>
      </w:r>
      <w:hyperlink r:id="rId36" w:tooltip="Financial statements" w:history="1">
        <w:r w:rsidRPr="00125F63">
          <w:rPr>
            <w:rStyle w:val="Hyperlink"/>
            <w:rFonts w:ascii="Tunga" w:hAnsi="Tunga" w:cs="Tunga"/>
            <w:color w:val="000000"/>
            <w:sz w:val="22"/>
            <w:szCs w:val="22"/>
            <w:u w:val="none"/>
            <w:lang/>
          </w:rPr>
          <w:t>financial statements</w:t>
        </w:r>
      </w:hyperlink>
      <w:r w:rsidRPr="00125F63">
        <w:rPr>
          <w:rFonts w:ascii="Tunga" w:hAnsi="Tunga" w:cs="Tunga"/>
          <w:color w:val="000000"/>
          <w:sz w:val="22"/>
          <w:szCs w:val="22"/>
          <w:lang/>
        </w:rPr>
        <w:t xml:space="preserve"> for publicly traded </w:t>
      </w:r>
      <w:hyperlink r:id="rId37" w:tooltip="Companies" w:history="1">
        <w:r w:rsidRPr="00125F63">
          <w:rPr>
            <w:rStyle w:val="Hyperlink"/>
            <w:rFonts w:ascii="Tunga" w:hAnsi="Tunga" w:cs="Tunga"/>
            <w:color w:val="000000"/>
            <w:sz w:val="22"/>
            <w:szCs w:val="22"/>
            <w:u w:val="none"/>
            <w:lang/>
          </w:rPr>
          <w:t>companies</w:t>
        </w:r>
      </w:hyperlink>
      <w:r w:rsidRPr="00125F63">
        <w:rPr>
          <w:rFonts w:ascii="Tunga" w:hAnsi="Tunga" w:cs="Tunga"/>
          <w:color w:val="000000"/>
          <w:sz w:val="22"/>
          <w:szCs w:val="22"/>
          <w:lang/>
        </w:rPr>
        <w:t xml:space="preserve"> and many private companies in the </w:t>
      </w:r>
      <w:hyperlink r:id="rId38" w:tooltip="United States" w:history="1">
        <w:r w:rsidRPr="00125F63">
          <w:rPr>
            <w:rStyle w:val="Hyperlink"/>
            <w:rFonts w:ascii="Tunga" w:hAnsi="Tunga" w:cs="Tunga"/>
            <w:color w:val="000000"/>
            <w:sz w:val="22"/>
            <w:szCs w:val="22"/>
            <w:u w:val="none"/>
            <w:lang/>
          </w:rPr>
          <w:t>United States</w:t>
        </w:r>
      </w:hyperlink>
      <w:r w:rsidRPr="00125F63">
        <w:rPr>
          <w:rFonts w:ascii="Tunga" w:hAnsi="Tunga" w:cs="Tunga"/>
          <w:color w:val="000000"/>
          <w:sz w:val="22"/>
          <w:szCs w:val="22"/>
          <w:lang/>
        </w:rPr>
        <w:t xml:space="preserve">. Generally accepted accounting principles for local and state governments operates under a different set of assumptions, principles, and constraints, as determined by the </w:t>
      </w:r>
      <w:hyperlink r:id="rId39" w:tooltip="Governmental Accounting Standards Board" w:history="1">
        <w:r w:rsidRPr="00125F63">
          <w:rPr>
            <w:rStyle w:val="Hyperlink"/>
            <w:rFonts w:ascii="Tunga" w:hAnsi="Tunga" w:cs="Tunga"/>
            <w:color w:val="000000"/>
            <w:sz w:val="22"/>
            <w:szCs w:val="22"/>
            <w:u w:val="none"/>
            <w:lang/>
          </w:rPr>
          <w:t>Governmental Accounting Standards Board</w:t>
        </w:r>
      </w:hyperlink>
      <w:r w:rsidRPr="00125F63">
        <w:rPr>
          <w:rFonts w:ascii="Tunga" w:hAnsi="Tunga" w:cs="Tunga"/>
          <w:color w:val="000000"/>
          <w:sz w:val="22"/>
          <w:szCs w:val="22"/>
          <w:lang/>
        </w:rPr>
        <w:t xml:space="preserve"> (GASB).</w:t>
      </w:r>
    </w:p>
    <w:p w:rsidR="00D507EA" w:rsidRPr="00125F63" w:rsidRDefault="00D507EA" w:rsidP="00D507EA">
      <w:pPr>
        <w:pStyle w:val="NormalWeb"/>
        <w:rPr>
          <w:rFonts w:ascii="Tunga" w:hAnsi="Tunga" w:cs="Tunga"/>
          <w:color w:val="000000"/>
          <w:sz w:val="22"/>
          <w:szCs w:val="22"/>
          <w:lang/>
        </w:rPr>
      </w:pPr>
      <w:r w:rsidRPr="00125F63">
        <w:rPr>
          <w:rFonts w:ascii="Tunga" w:hAnsi="Tunga" w:cs="Tunga"/>
          <w:color w:val="000000"/>
          <w:sz w:val="22"/>
          <w:szCs w:val="22"/>
          <w:lang/>
        </w:rPr>
        <w:t xml:space="preserve">In the United States, as well as in other countries practicing under the English </w:t>
      </w:r>
      <w:hyperlink r:id="rId40" w:tooltip="Common law" w:history="1">
        <w:r w:rsidRPr="00125F63">
          <w:rPr>
            <w:rStyle w:val="Hyperlink"/>
            <w:rFonts w:ascii="Tunga" w:hAnsi="Tunga" w:cs="Tunga"/>
            <w:color w:val="000000"/>
            <w:sz w:val="22"/>
            <w:szCs w:val="22"/>
            <w:u w:val="none"/>
            <w:lang/>
          </w:rPr>
          <w:t>common law</w:t>
        </w:r>
      </w:hyperlink>
      <w:r w:rsidRPr="00125F63">
        <w:rPr>
          <w:rFonts w:ascii="Tunga" w:hAnsi="Tunga" w:cs="Tunga"/>
          <w:color w:val="000000"/>
          <w:sz w:val="22"/>
          <w:szCs w:val="22"/>
          <w:lang/>
        </w:rPr>
        <w:t xml:space="preserve"> system, the </w:t>
      </w:r>
      <w:hyperlink r:id="rId41" w:tooltip="Government" w:history="1">
        <w:r w:rsidRPr="00125F63">
          <w:rPr>
            <w:rStyle w:val="Hyperlink"/>
            <w:rFonts w:ascii="Tunga" w:hAnsi="Tunga" w:cs="Tunga"/>
            <w:color w:val="000000"/>
            <w:sz w:val="22"/>
            <w:szCs w:val="22"/>
            <w:u w:val="none"/>
            <w:lang/>
          </w:rPr>
          <w:t>government</w:t>
        </w:r>
      </w:hyperlink>
      <w:r w:rsidRPr="00125F63">
        <w:rPr>
          <w:rFonts w:ascii="Tunga" w:hAnsi="Tunga" w:cs="Tunga"/>
          <w:color w:val="000000"/>
          <w:sz w:val="22"/>
          <w:szCs w:val="22"/>
          <w:lang/>
        </w:rPr>
        <w:t xml:space="preserve"> does not set accounting standards, in the belief that the private sector has better knowledge and resources. The GAAP is not written in </w:t>
      </w:r>
      <w:hyperlink r:id="rId42" w:tooltip="Law" w:history="1">
        <w:r w:rsidRPr="00125F63">
          <w:rPr>
            <w:rStyle w:val="Hyperlink"/>
            <w:rFonts w:ascii="Tunga" w:hAnsi="Tunga" w:cs="Tunga"/>
            <w:color w:val="000000"/>
            <w:sz w:val="22"/>
            <w:szCs w:val="22"/>
            <w:u w:val="none"/>
            <w:lang/>
          </w:rPr>
          <w:t>law</w:t>
        </w:r>
      </w:hyperlink>
      <w:r w:rsidRPr="00125F63">
        <w:rPr>
          <w:rFonts w:ascii="Tunga" w:hAnsi="Tunga" w:cs="Tunga"/>
          <w:color w:val="000000"/>
          <w:sz w:val="22"/>
          <w:szCs w:val="22"/>
          <w:lang/>
        </w:rPr>
        <w:t xml:space="preserve">, although the </w:t>
      </w:r>
      <w:hyperlink r:id="rId43" w:tooltip="U.S. Securities and Exchange Commission" w:history="1">
        <w:r w:rsidRPr="00125F63">
          <w:rPr>
            <w:rStyle w:val="Hyperlink"/>
            <w:rFonts w:ascii="Tunga" w:hAnsi="Tunga" w:cs="Tunga"/>
            <w:color w:val="000000"/>
            <w:sz w:val="22"/>
            <w:szCs w:val="22"/>
            <w:u w:val="none"/>
            <w:lang/>
          </w:rPr>
          <w:t>U.S. Securities and Exchange Commission</w:t>
        </w:r>
      </w:hyperlink>
      <w:r w:rsidRPr="00125F63">
        <w:rPr>
          <w:rFonts w:ascii="Tunga" w:hAnsi="Tunga" w:cs="Tunga"/>
          <w:color w:val="000000"/>
          <w:sz w:val="22"/>
          <w:szCs w:val="22"/>
          <w:lang/>
        </w:rPr>
        <w:t xml:space="preserve"> (SEC) requires that it be followed in financial reporting by publicly traded companies. Currently, the Financial Accounting Standards Board (FASB) sets accounting principles for the profession. The US GAAP provisions differ somewhat from </w:t>
      </w:r>
      <w:hyperlink r:id="rId44" w:tooltip="International Financial Reporting Standards" w:history="1">
        <w:r w:rsidRPr="00125F63">
          <w:rPr>
            <w:rStyle w:val="Hyperlink"/>
            <w:rFonts w:ascii="Tunga" w:hAnsi="Tunga" w:cs="Tunga"/>
            <w:color w:val="000000"/>
            <w:sz w:val="22"/>
            <w:szCs w:val="22"/>
            <w:u w:val="none"/>
            <w:lang/>
          </w:rPr>
          <w:t>International Financial Reporting Standards</w:t>
        </w:r>
      </w:hyperlink>
      <w:r w:rsidRPr="00125F63">
        <w:rPr>
          <w:rFonts w:ascii="Tunga" w:hAnsi="Tunga" w:cs="Tunga"/>
          <w:color w:val="000000"/>
          <w:sz w:val="22"/>
          <w:szCs w:val="22"/>
          <w:lang/>
        </w:rPr>
        <w:t xml:space="preserve"> though efforts are underway to reconcile the differences so that reports created under international standards will be acceptable to the SEC for companies listed on US markets.</w:t>
      </w:r>
    </w:p>
    <w:tbl>
      <w:tblPr>
        <w:tblW w:w="0" w:type="auto"/>
        <w:tblCellSpacing w:w="15" w:type="dxa"/>
        <w:tblCellMar>
          <w:top w:w="15" w:type="dxa"/>
          <w:left w:w="15" w:type="dxa"/>
          <w:bottom w:w="15" w:type="dxa"/>
          <w:right w:w="15" w:type="dxa"/>
        </w:tblCellMar>
        <w:tblLook w:val="0000"/>
      </w:tblPr>
      <w:tblGrid>
        <w:gridCol w:w="2966"/>
      </w:tblGrid>
      <w:tr w:rsidR="00D507EA" w:rsidRPr="00195ACE">
        <w:trPr>
          <w:tblCellSpacing w:w="15" w:type="dxa"/>
        </w:trPr>
        <w:tc>
          <w:tcPr>
            <w:tcW w:w="0" w:type="auto"/>
            <w:vAlign w:val="center"/>
          </w:tcPr>
          <w:p w:rsidR="00D507EA" w:rsidRPr="00195ACE" w:rsidRDefault="00D507EA" w:rsidP="00D507EA">
            <w:pPr>
              <w:pStyle w:val="Heading2"/>
              <w:rPr>
                <w:b w:val="0"/>
                <w:color w:val="000000"/>
              </w:rPr>
            </w:pPr>
            <w:r w:rsidRPr="00195ACE">
              <w:rPr>
                <w:b w:val="0"/>
                <w:color w:val="000000"/>
              </w:rPr>
              <w:t>Contents</w:t>
            </w:r>
          </w:p>
          <w:p w:rsidR="00D507EA" w:rsidRPr="00125F63" w:rsidRDefault="00D507EA" w:rsidP="00D507EA">
            <w:pPr>
              <w:numPr>
                <w:ilvl w:val="0"/>
                <w:numId w:val="12"/>
              </w:numPr>
              <w:tabs>
                <w:tab w:val="clear" w:pos="720"/>
                <w:tab w:val="num" w:pos="360"/>
              </w:tabs>
              <w:spacing w:before="100" w:beforeAutospacing="1" w:after="100" w:afterAutospacing="1"/>
              <w:ind w:hanging="540"/>
              <w:rPr>
                <w:rFonts w:ascii="Tunga" w:hAnsi="Tunga" w:cs="Tunga"/>
                <w:color w:val="000000"/>
                <w:sz w:val="22"/>
                <w:szCs w:val="22"/>
              </w:rPr>
            </w:pPr>
            <w:hyperlink r:id="rId45" w:anchor="Basic_objectives#Basic_objectives" w:history="1">
              <w:r w:rsidRPr="00125F63">
                <w:rPr>
                  <w:rStyle w:val="tocnumber"/>
                  <w:rFonts w:ascii="Tunga" w:hAnsi="Tunga" w:cs="Tunga"/>
                  <w:color w:val="000000"/>
                  <w:sz w:val="22"/>
                  <w:szCs w:val="22"/>
                </w:rPr>
                <w:t>1</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Basic objectives</w:t>
              </w:r>
            </w:hyperlink>
            <w:r w:rsidRPr="00125F63">
              <w:rPr>
                <w:rFonts w:ascii="Tunga" w:hAnsi="Tunga" w:cs="Tunga"/>
                <w:color w:val="000000"/>
                <w:sz w:val="22"/>
                <w:szCs w:val="22"/>
              </w:rPr>
              <w:t xml:space="preserve"> </w:t>
            </w:r>
          </w:p>
          <w:p w:rsidR="00D507EA" w:rsidRPr="00125F63" w:rsidRDefault="00D507EA" w:rsidP="00D507EA">
            <w:pPr>
              <w:numPr>
                <w:ilvl w:val="0"/>
                <w:numId w:val="12"/>
              </w:numPr>
              <w:tabs>
                <w:tab w:val="clear" w:pos="720"/>
                <w:tab w:val="num" w:pos="360"/>
              </w:tabs>
              <w:spacing w:before="100" w:beforeAutospacing="1" w:after="100" w:afterAutospacing="1"/>
              <w:ind w:hanging="540"/>
              <w:rPr>
                <w:rFonts w:ascii="Tunga" w:hAnsi="Tunga" w:cs="Tunga"/>
                <w:color w:val="000000"/>
                <w:sz w:val="22"/>
                <w:szCs w:val="22"/>
              </w:rPr>
            </w:pPr>
            <w:hyperlink r:id="rId46" w:anchor="Fundamental_qualities#Fundamental_qualities" w:history="1">
              <w:r w:rsidRPr="00125F63">
                <w:rPr>
                  <w:rStyle w:val="tocnumber"/>
                  <w:rFonts w:ascii="Tunga" w:hAnsi="Tunga" w:cs="Tunga"/>
                  <w:color w:val="000000"/>
                  <w:sz w:val="22"/>
                  <w:szCs w:val="22"/>
                </w:rPr>
                <w:t>2</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Fundamental qualities</w:t>
              </w:r>
            </w:hyperlink>
            <w:r w:rsidRPr="00125F63">
              <w:rPr>
                <w:rFonts w:ascii="Tunga" w:hAnsi="Tunga" w:cs="Tunga"/>
                <w:color w:val="000000"/>
                <w:sz w:val="22"/>
                <w:szCs w:val="22"/>
              </w:rPr>
              <w:t xml:space="preserve"> </w:t>
            </w:r>
          </w:p>
          <w:p w:rsidR="00D507EA" w:rsidRPr="00125F63" w:rsidRDefault="00D507EA" w:rsidP="00D507EA">
            <w:pPr>
              <w:numPr>
                <w:ilvl w:val="0"/>
                <w:numId w:val="12"/>
              </w:numPr>
              <w:tabs>
                <w:tab w:val="clear" w:pos="720"/>
                <w:tab w:val="num" w:pos="360"/>
              </w:tabs>
              <w:spacing w:before="100" w:beforeAutospacing="1" w:after="100" w:afterAutospacing="1"/>
              <w:ind w:hanging="540"/>
              <w:rPr>
                <w:rFonts w:ascii="Tunga" w:hAnsi="Tunga" w:cs="Tunga"/>
                <w:color w:val="000000"/>
                <w:sz w:val="22"/>
                <w:szCs w:val="22"/>
              </w:rPr>
            </w:pPr>
            <w:hyperlink r:id="rId47" w:anchor="Basic_concepts#Basic_concepts" w:history="1">
              <w:r w:rsidRPr="00125F63">
                <w:rPr>
                  <w:rStyle w:val="tocnumber"/>
                  <w:rFonts w:ascii="Tunga" w:hAnsi="Tunga" w:cs="Tunga"/>
                  <w:color w:val="000000"/>
                  <w:sz w:val="22"/>
                  <w:szCs w:val="22"/>
                </w:rPr>
                <w:t>3</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Basic concepts</w:t>
              </w:r>
            </w:hyperlink>
            <w:r w:rsidRPr="00125F63">
              <w:rPr>
                <w:rFonts w:ascii="Tunga" w:hAnsi="Tunga" w:cs="Tunga"/>
                <w:color w:val="000000"/>
                <w:sz w:val="22"/>
                <w:szCs w:val="22"/>
              </w:rPr>
              <w:t xml:space="preserve"> </w:t>
            </w:r>
          </w:p>
          <w:p w:rsidR="00D507EA" w:rsidRPr="00125F63" w:rsidRDefault="00D507EA" w:rsidP="00D507EA">
            <w:pPr>
              <w:numPr>
                <w:ilvl w:val="1"/>
                <w:numId w:val="12"/>
              </w:numPr>
              <w:tabs>
                <w:tab w:val="clear" w:pos="1440"/>
                <w:tab w:val="num" w:pos="360"/>
                <w:tab w:val="num" w:pos="720"/>
              </w:tabs>
              <w:spacing w:before="100" w:beforeAutospacing="1" w:after="100" w:afterAutospacing="1"/>
              <w:ind w:hanging="900"/>
              <w:rPr>
                <w:rFonts w:ascii="Tunga" w:hAnsi="Tunga" w:cs="Tunga"/>
                <w:color w:val="000000"/>
                <w:sz w:val="22"/>
                <w:szCs w:val="22"/>
              </w:rPr>
            </w:pPr>
            <w:hyperlink r:id="rId48" w:anchor="Assumptions#Assumptions" w:history="1">
              <w:r w:rsidRPr="00125F63">
                <w:rPr>
                  <w:rStyle w:val="tocnumber"/>
                  <w:rFonts w:ascii="Tunga" w:hAnsi="Tunga" w:cs="Tunga"/>
                  <w:color w:val="000000"/>
                  <w:sz w:val="22"/>
                  <w:szCs w:val="22"/>
                </w:rPr>
                <w:t>3.1</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Assumptions</w:t>
              </w:r>
            </w:hyperlink>
            <w:r w:rsidRPr="00125F63">
              <w:rPr>
                <w:rFonts w:ascii="Tunga" w:hAnsi="Tunga" w:cs="Tunga"/>
                <w:color w:val="000000"/>
                <w:sz w:val="22"/>
                <w:szCs w:val="22"/>
              </w:rPr>
              <w:t xml:space="preserve"> </w:t>
            </w:r>
          </w:p>
          <w:p w:rsidR="00D507EA" w:rsidRPr="00125F63" w:rsidRDefault="00D507EA" w:rsidP="00D507EA">
            <w:pPr>
              <w:numPr>
                <w:ilvl w:val="1"/>
                <w:numId w:val="12"/>
              </w:numPr>
              <w:tabs>
                <w:tab w:val="clear" w:pos="1440"/>
                <w:tab w:val="num" w:pos="360"/>
                <w:tab w:val="num" w:pos="720"/>
              </w:tabs>
              <w:spacing w:before="100" w:beforeAutospacing="1" w:after="100" w:afterAutospacing="1"/>
              <w:ind w:hanging="900"/>
              <w:rPr>
                <w:rFonts w:ascii="Tunga" w:hAnsi="Tunga" w:cs="Tunga"/>
                <w:color w:val="000000"/>
                <w:sz w:val="22"/>
                <w:szCs w:val="22"/>
              </w:rPr>
            </w:pPr>
            <w:hyperlink r:id="rId49" w:anchor="Principles#Principles" w:history="1">
              <w:r w:rsidRPr="00125F63">
                <w:rPr>
                  <w:rStyle w:val="tocnumber"/>
                  <w:rFonts w:ascii="Tunga" w:hAnsi="Tunga" w:cs="Tunga"/>
                  <w:color w:val="000000"/>
                  <w:sz w:val="22"/>
                  <w:szCs w:val="22"/>
                </w:rPr>
                <w:t>3.2</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Principles</w:t>
              </w:r>
            </w:hyperlink>
            <w:r w:rsidRPr="00125F63">
              <w:rPr>
                <w:rFonts w:ascii="Tunga" w:hAnsi="Tunga" w:cs="Tunga"/>
                <w:color w:val="000000"/>
                <w:sz w:val="22"/>
                <w:szCs w:val="22"/>
              </w:rPr>
              <w:t xml:space="preserve"> </w:t>
            </w:r>
          </w:p>
          <w:p w:rsidR="00D507EA" w:rsidRPr="00125F63" w:rsidRDefault="00D507EA" w:rsidP="00D507EA">
            <w:pPr>
              <w:numPr>
                <w:ilvl w:val="1"/>
                <w:numId w:val="12"/>
              </w:numPr>
              <w:tabs>
                <w:tab w:val="clear" w:pos="1440"/>
                <w:tab w:val="num" w:pos="360"/>
                <w:tab w:val="num" w:pos="720"/>
              </w:tabs>
              <w:spacing w:before="100" w:beforeAutospacing="1" w:after="100" w:afterAutospacing="1"/>
              <w:ind w:hanging="900"/>
              <w:rPr>
                <w:rFonts w:ascii="Tunga" w:hAnsi="Tunga" w:cs="Tunga"/>
                <w:color w:val="000000"/>
                <w:sz w:val="22"/>
                <w:szCs w:val="22"/>
              </w:rPr>
            </w:pPr>
            <w:hyperlink r:id="rId50" w:anchor="Constraints#Constraints" w:history="1">
              <w:r w:rsidRPr="00125F63">
                <w:rPr>
                  <w:rStyle w:val="tocnumber"/>
                  <w:rFonts w:ascii="Tunga" w:hAnsi="Tunga" w:cs="Tunga"/>
                  <w:color w:val="000000"/>
                  <w:sz w:val="22"/>
                  <w:szCs w:val="22"/>
                </w:rPr>
                <w:t>3.3</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Constraints</w:t>
              </w:r>
            </w:hyperlink>
            <w:r w:rsidRPr="00125F63">
              <w:rPr>
                <w:rFonts w:ascii="Tunga" w:hAnsi="Tunga" w:cs="Tunga"/>
                <w:color w:val="000000"/>
                <w:sz w:val="22"/>
                <w:szCs w:val="22"/>
              </w:rPr>
              <w:t xml:space="preserve"> </w:t>
            </w:r>
          </w:p>
          <w:p w:rsidR="00D507EA" w:rsidRPr="00125F63" w:rsidRDefault="00D507EA" w:rsidP="00D507EA">
            <w:pPr>
              <w:numPr>
                <w:ilvl w:val="0"/>
                <w:numId w:val="12"/>
              </w:numPr>
              <w:tabs>
                <w:tab w:val="clear" w:pos="720"/>
                <w:tab w:val="num" w:pos="360"/>
              </w:tabs>
              <w:spacing w:before="100" w:beforeAutospacing="1" w:after="100" w:afterAutospacing="1"/>
              <w:ind w:hanging="540"/>
              <w:rPr>
                <w:rFonts w:ascii="Tunga" w:hAnsi="Tunga" w:cs="Tunga"/>
                <w:color w:val="000000"/>
                <w:sz w:val="22"/>
                <w:szCs w:val="22"/>
              </w:rPr>
            </w:pPr>
            <w:hyperlink r:id="rId51" w:anchor="Setting_GAAP#Setting_GAAP" w:history="1">
              <w:r w:rsidRPr="00125F63">
                <w:rPr>
                  <w:rStyle w:val="tocnumber"/>
                  <w:rFonts w:ascii="Tunga" w:hAnsi="Tunga" w:cs="Tunga"/>
                  <w:color w:val="000000"/>
                  <w:sz w:val="22"/>
                  <w:szCs w:val="22"/>
                </w:rPr>
                <w:t>4</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Setting GAAP</w:t>
              </w:r>
            </w:hyperlink>
            <w:r w:rsidRPr="00125F63">
              <w:rPr>
                <w:rFonts w:ascii="Tunga" w:hAnsi="Tunga" w:cs="Tunga"/>
                <w:color w:val="000000"/>
                <w:sz w:val="22"/>
                <w:szCs w:val="22"/>
              </w:rPr>
              <w:t xml:space="preserve"> </w:t>
            </w:r>
          </w:p>
          <w:p w:rsidR="00D507EA" w:rsidRPr="00195ACE" w:rsidRDefault="00D507EA" w:rsidP="00D507EA">
            <w:pPr>
              <w:numPr>
                <w:ilvl w:val="0"/>
                <w:numId w:val="12"/>
              </w:numPr>
              <w:tabs>
                <w:tab w:val="clear" w:pos="720"/>
                <w:tab w:val="num" w:pos="360"/>
              </w:tabs>
              <w:spacing w:before="100" w:beforeAutospacing="1" w:after="100" w:afterAutospacing="1"/>
              <w:ind w:hanging="540"/>
              <w:rPr>
                <w:color w:val="000000"/>
              </w:rPr>
            </w:pPr>
            <w:hyperlink r:id="rId52" w:anchor="House_of_GAAP#House_of_GAAP" w:history="1">
              <w:r w:rsidRPr="00125F63">
                <w:rPr>
                  <w:rStyle w:val="tocnumber"/>
                  <w:rFonts w:ascii="Tunga" w:hAnsi="Tunga" w:cs="Tunga"/>
                  <w:color w:val="000000"/>
                  <w:sz w:val="22"/>
                  <w:szCs w:val="22"/>
                </w:rPr>
                <w:t>5</w:t>
              </w:r>
              <w:r w:rsidRPr="00125F63">
                <w:rPr>
                  <w:rStyle w:val="Hyperlink"/>
                  <w:rFonts w:ascii="Tunga" w:hAnsi="Tunga" w:cs="Tunga"/>
                  <w:color w:val="000000"/>
                  <w:sz w:val="22"/>
                  <w:szCs w:val="22"/>
                  <w:u w:val="none"/>
                </w:rPr>
                <w:t xml:space="preserve"> </w:t>
              </w:r>
              <w:r w:rsidRPr="00125F63">
                <w:rPr>
                  <w:rStyle w:val="toctext"/>
                  <w:rFonts w:ascii="Tunga" w:hAnsi="Tunga" w:cs="Tunga"/>
                  <w:color w:val="000000"/>
                  <w:sz w:val="22"/>
                  <w:szCs w:val="22"/>
                </w:rPr>
                <w:t>House of GAAP</w:t>
              </w:r>
            </w:hyperlink>
            <w:r w:rsidRPr="00125F63">
              <w:rPr>
                <w:rFonts w:ascii="Tunga" w:hAnsi="Tunga" w:cs="Tunga"/>
                <w:color w:val="000000"/>
                <w:sz w:val="22"/>
                <w:szCs w:val="22"/>
              </w:rPr>
              <w:t xml:space="preserve"> </w:t>
            </w:r>
          </w:p>
        </w:tc>
      </w:tr>
    </w:tbl>
    <w:p w:rsidR="00D507EA" w:rsidRPr="00195ACE" w:rsidRDefault="00D507EA" w:rsidP="00D507EA">
      <w:pPr>
        <w:pStyle w:val="Heading2"/>
        <w:rPr>
          <w:b w:val="0"/>
          <w:color w:val="000000"/>
          <w:lang/>
        </w:rPr>
      </w:pPr>
      <w:r w:rsidRPr="00195ACE">
        <w:rPr>
          <w:rStyle w:val="mw-headline"/>
          <w:b w:val="0"/>
          <w:color w:val="000000"/>
          <w:lang/>
        </w:rPr>
        <w:t xml:space="preserve">Basic </w:t>
      </w:r>
      <w:r>
        <w:rPr>
          <w:rStyle w:val="mw-headline"/>
          <w:b w:val="0"/>
          <w:color w:val="000000"/>
          <w:lang/>
        </w:rPr>
        <w:t>O</w:t>
      </w:r>
      <w:r w:rsidRPr="00195ACE">
        <w:rPr>
          <w:rStyle w:val="mw-headline"/>
          <w:b w:val="0"/>
          <w:color w:val="000000"/>
          <w:lang/>
        </w:rPr>
        <w:t>bjectives</w:t>
      </w:r>
    </w:p>
    <w:p w:rsidR="00D507EA" w:rsidRPr="00125F63" w:rsidRDefault="00D507EA" w:rsidP="00D507EA">
      <w:pPr>
        <w:pStyle w:val="NormalWeb"/>
        <w:rPr>
          <w:rFonts w:ascii="Tunga" w:hAnsi="Tunga" w:cs="Tunga"/>
          <w:color w:val="000000"/>
          <w:sz w:val="22"/>
          <w:szCs w:val="22"/>
          <w:lang/>
        </w:rPr>
      </w:pPr>
      <w:r w:rsidRPr="00125F63">
        <w:rPr>
          <w:rFonts w:ascii="Tunga" w:hAnsi="Tunga" w:cs="Tunga"/>
          <w:color w:val="000000"/>
          <w:sz w:val="22"/>
          <w:szCs w:val="22"/>
          <w:lang/>
        </w:rPr>
        <w:t>Financial reporting should provide information that is:</w:t>
      </w:r>
    </w:p>
    <w:p w:rsidR="00D507EA" w:rsidRPr="00125F63" w:rsidRDefault="00D507EA" w:rsidP="00D507EA">
      <w:pPr>
        <w:numPr>
          <w:ilvl w:val="0"/>
          <w:numId w:val="13"/>
        </w:numPr>
        <w:spacing w:before="100" w:beforeAutospacing="1" w:after="100" w:afterAutospacing="1"/>
        <w:rPr>
          <w:rFonts w:ascii="Tunga" w:hAnsi="Tunga" w:cs="Tunga"/>
          <w:color w:val="000000"/>
          <w:sz w:val="22"/>
          <w:szCs w:val="22"/>
          <w:lang/>
        </w:rPr>
      </w:pPr>
      <w:r w:rsidRPr="00125F63">
        <w:rPr>
          <w:rFonts w:ascii="Tunga" w:hAnsi="Tunga" w:cs="Tunga"/>
          <w:color w:val="000000"/>
          <w:sz w:val="22"/>
          <w:szCs w:val="22"/>
          <w:lang/>
        </w:rPr>
        <w:t xml:space="preserve">useful to present to potential investors and creditors and other users in making rational investment, credit, and other financial decisions. </w:t>
      </w:r>
    </w:p>
    <w:p w:rsidR="00D507EA" w:rsidRPr="00125F63" w:rsidRDefault="00D507EA" w:rsidP="00D507EA">
      <w:pPr>
        <w:numPr>
          <w:ilvl w:val="0"/>
          <w:numId w:val="13"/>
        </w:numPr>
        <w:spacing w:before="100" w:beforeAutospacing="1" w:after="100" w:afterAutospacing="1"/>
        <w:rPr>
          <w:rFonts w:ascii="Tunga" w:hAnsi="Tunga" w:cs="Tunga"/>
          <w:color w:val="000000"/>
          <w:sz w:val="22"/>
          <w:szCs w:val="22"/>
          <w:lang/>
        </w:rPr>
      </w:pPr>
      <w:r w:rsidRPr="00125F63">
        <w:rPr>
          <w:rFonts w:ascii="Tunga" w:hAnsi="Tunga" w:cs="Tunga"/>
          <w:color w:val="000000"/>
          <w:sz w:val="22"/>
          <w:szCs w:val="22"/>
          <w:lang/>
        </w:rPr>
        <w:t xml:space="preserve">helpful to present to potential investors and creditors and other users in assessing the amounts, timing, and uncertainty of prospective cash receipts. </w:t>
      </w:r>
    </w:p>
    <w:p w:rsidR="00D507EA" w:rsidRPr="00125F63" w:rsidRDefault="00D507EA" w:rsidP="00D507EA">
      <w:pPr>
        <w:numPr>
          <w:ilvl w:val="0"/>
          <w:numId w:val="13"/>
        </w:numPr>
        <w:spacing w:before="100" w:beforeAutospacing="1" w:after="100" w:afterAutospacing="1"/>
        <w:rPr>
          <w:rFonts w:ascii="Tunga" w:hAnsi="Tunga" w:cs="Tunga"/>
          <w:color w:val="000000"/>
          <w:sz w:val="22"/>
          <w:szCs w:val="22"/>
          <w:lang/>
        </w:rPr>
      </w:pPr>
      <w:r w:rsidRPr="00125F63">
        <w:rPr>
          <w:rFonts w:ascii="Tunga" w:hAnsi="Tunga" w:cs="Tunga"/>
          <w:color w:val="000000"/>
          <w:sz w:val="22"/>
          <w:szCs w:val="22"/>
          <w:lang/>
        </w:rPr>
        <w:lastRenderedPageBreak/>
        <w:t xml:space="preserve">about economic resources, the claims to those resources, and the changes in them. </w:t>
      </w:r>
    </w:p>
    <w:p w:rsidR="00D507EA" w:rsidRPr="00195ACE" w:rsidRDefault="00D507EA" w:rsidP="00D507EA">
      <w:pPr>
        <w:pStyle w:val="Heading2"/>
        <w:rPr>
          <w:b w:val="0"/>
          <w:color w:val="000000"/>
          <w:lang/>
        </w:rPr>
      </w:pPr>
      <w:bookmarkStart w:id="13" w:name="Fundamental_qualities"/>
      <w:bookmarkEnd w:id="13"/>
      <w:r w:rsidRPr="00195ACE">
        <w:rPr>
          <w:rStyle w:val="mw-headline"/>
          <w:b w:val="0"/>
          <w:color w:val="000000"/>
          <w:lang/>
        </w:rPr>
        <w:t xml:space="preserve">Fundamental </w:t>
      </w:r>
      <w:r>
        <w:rPr>
          <w:rStyle w:val="mw-headline"/>
          <w:b w:val="0"/>
          <w:color w:val="000000"/>
          <w:lang/>
        </w:rPr>
        <w:t>Q</w:t>
      </w:r>
      <w:r w:rsidRPr="00195ACE">
        <w:rPr>
          <w:rStyle w:val="mw-headline"/>
          <w:b w:val="0"/>
          <w:color w:val="000000"/>
          <w:lang/>
        </w:rPr>
        <w:t>ualities</w:t>
      </w:r>
    </w:p>
    <w:p w:rsidR="00D507EA" w:rsidRPr="00125F63" w:rsidRDefault="00D507EA" w:rsidP="00D507EA">
      <w:pPr>
        <w:pStyle w:val="NormalWeb"/>
        <w:rPr>
          <w:rFonts w:ascii="Tunga" w:hAnsi="Tunga" w:cs="Tunga"/>
          <w:color w:val="000000"/>
          <w:sz w:val="22"/>
          <w:szCs w:val="22"/>
          <w:lang/>
        </w:rPr>
      </w:pPr>
      <w:r w:rsidRPr="00125F63">
        <w:rPr>
          <w:rFonts w:ascii="Tunga" w:hAnsi="Tunga" w:cs="Tunga"/>
          <w:color w:val="000000"/>
          <w:sz w:val="22"/>
          <w:szCs w:val="22"/>
          <w:lang/>
        </w:rPr>
        <w:t>To be useful and helpful to users, financial statements must be:</w:t>
      </w:r>
    </w:p>
    <w:p w:rsidR="00D507EA" w:rsidRPr="00125F63" w:rsidRDefault="00D507EA" w:rsidP="00D507EA">
      <w:pPr>
        <w:numPr>
          <w:ilvl w:val="0"/>
          <w:numId w:val="14"/>
        </w:numPr>
        <w:spacing w:before="100" w:beforeAutospacing="1" w:after="100" w:afterAutospacing="1"/>
        <w:rPr>
          <w:rFonts w:ascii="Tunga" w:hAnsi="Tunga" w:cs="Tunga"/>
          <w:color w:val="000000"/>
          <w:sz w:val="22"/>
          <w:szCs w:val="22"/>
          <w:lang/>
        </w:rPr>
      </w:pPr>
      <w:r w:rsidRPr="00125F63">
        <w:rPr>
          <w:rFonts w:ascii="Tunga" w:hAnsi="Tunga" w:cs="Tunga"/>
          <w:bCs/>
          <w:color w:val="000000"/>
          <w:sz w:val="22"/>
          <w:szCs w:val="22"/>
          <w:lang/>
        </w:rPr>
        <w:t>Relevant</w:t>
      </w:r>
      <w:r w:rsidRPr="00125F63">
        <w:rPr>
          <w:rFonts w:ascii="Tunga" w:hAnsi="Tunga" w:cs="Tunga"/>
          <w:color w:val="000000"/>
          <w:sz w:val="22"/>
          <w:szCs w:val="22"/>
          <w:lang/>
        </w:rPr>
        <w:t xml:space="preserve">: relevant information makes a difference in a decision. It also helps users make predictions about past, present and future events (it has predictive value). Relevant information helps users confirm or correct prior expectations (it has feedback value). It must also be available on time, that is before decisions are made. </w:t>
      </w:r>
    </w:p>
    <w:p w:rsidR="00D507EA" w:rsidRPr="00125F63" w:rsidRDefault="00D507EA" w:rsidP="00371B77">
      <w:pPr>
        <w:numPr>
          <w:ilvl w:val="0"/>
          <w:numId w:val="14"/>
        </w:numPr>
        <w:spacing w:before="100" w:beforeAutospacing="1" w:after="100" w:afterAutospacing="1"/>
        <w:jc w:val="both"/>
        <w:rPr>
          <w:rFonts w:ascii="Tunga" w:hAnsi="Tunga" w:cs="Tunga"/>
          <w:color w:val="000000"/>
          <w:sz w:val="22"/>
          <w:szCs w:val="22"/>
          <w:lang/>
        </w:rPr>
      </w:pPr>
      <w:r w:rsidRPr="00125F63">
        <w:rPr>
          <w:rFonts w:ascii="Tunga" w:hAnsi="Tunga" w:cs="Tunga"/>
          <w:bCs/>
          <w:color w:val="000000"/>
          <w:sz w:val="22"/>
          <w:szCs w:val="22"/>
          <w:lang/>
        </w:rPr>
        <w:t>Reliable</w:t>
      </w:r>
      <w:r w:rsidRPr="00125F63">
        <w:rPr>
          <w:rFonts w:ascii="Tunga" w:hAnsi="Tunga" w:cs="Tunga"/>
          <w:color w:val="000000"/>
          <w:sz w:val="22"/>
          <w:szCs w:val="22"/>
          <w:lang/>
        </w:rPr>
        <w:t xml:space="preserve">: reliable information is verifiable (when independent auditors using the same methods get similar results), neutral (free from bias), and demonstrate representational faithfulness (what really happened or existed). </w:t>
      </w:r>
    </w:p>
    <w:p w:rsidR="00D507EA" w:rsidRPr="00125F63" w:rsidRDefault="00D507EA" w:rsidP="00D507EA">
      <w:pPr>
        <w:numPr>
          <w:ilvl w:val="0"/>
          <w:numId w:val="14"/>
        </w:numPr>
        <w:spacing w:before="100" w:beforeAutospacing="1" w:after="100" w:afterAutospacing="1"/>
        <w:rPr>
          <w:rFonts w:ascii="Tunga" w:hAnsi="Tunga" w:cs="Tunga"/>
          <w:color w:val="000000"/>
          <w:sz w:val="22"/>
          <w:szCs w:val="22"/>
          <w:lang/>
        </w:rPr>
      </w:pPr>
      <w:r w:rsidRPr="00125F63">
        <w:rPr>
          <w:rFonts w:ascii="Tunga" w:hAnsi="Tunga" w:cs="Tunga"/>
          <w:bCs/>
          <w:color w:val="000000"/>
          <w:sz w:val="22"/>
          <w:szCs w:val="22"/>
          <w:lang/>
        </w:rPr>
        <w:t>Comparable</w:t>
      </w:r>
      <w:r w:rsidRPr="00125F63">
        <w:rPr>
          <w:rFonts w:ascii="Tunga" w:hAnsi="Tunga" w:cs="Tunga"/>
          <w:color w:val="000000"/>
          <w:sz w:val="22"/>
          <w:szCs w:val="22"/>
          <w:lang/>
        </w:rPr>
        <w:t xml:space="preserve">: information must be measured and reported in a similar manner for different enterprises (allows financial statements to be compared between different companies). </w:t>
      </w:r>
    </w:p>
    <w:p w:rsidR="00D507EA" w:rsidRPr="00125F63" w:rsidRDefault="00D507EA" w:rsidP="00D507EA">
      <w:pPr>
        <w:numPr>
          <w:ilvl w:val="0"/>
          <w:numId w:val="14"/>
        </w:numPr>
        <w:spacing w:before="100" w:beforeAutospacing="1" w:after="100" w:afterAutospacing="1"/>
        <w:rPr>
          <w:rFonts w:ascii="Tunga" w:hAnsi="Tunga" w:cs="Tunga"/>
          <w:color w:val="000000"/>
          <w:sz w:val="22"/>
          <w:szCs w:val="22"/>
          <w:lang/>
        </w:rPr>
      </w:pPr>
      <w:r w:rsidRPr="00125F63">
        <w:rPr>
          <w:rFonts w:ascii="Tunga" w:hAnsi="Tunga" w:cs="Tunga"/>
          <w:bCs/>
          <w:color w:val="000000"/>
          <w:sz w:val="22"/>
          <w:szCs w:val="22"/>
          <w:lang/>
        </w:rPr>
        <w:t>Consistent</w:t>
      </w:r>
      <w:r w:rsidRPr="00125F63">
        <w:rPr>
          <w:rFonts w:ascii="Tunga" w:hAnsi="Tunga" w:cs="Tunga"/>
          <w:color w:val="000000"/>
          <w:sz w:val="22"/>
          <w:szCs w:val="22"/>
          <w:lang/>
        </w:rPr>
        <w:t xml:space="preserve">: the same accounting methods should be applied from period to period and all changes in methods should be well explained and justified. </w:t>
      </w:r>
    </w:p>
    <w:p w:rsidR="00D507EA" w:rsidRPr="00195ACE" w:rsidRDefault="00D507EA" w:rsidP="00D507EA">
      <w:pPr>
        <w:pStyle w:val="Heading2"/>
        <w:rPr>
          <w:b w:val="0"/>
          <w:color w:val="000000"/>
          <w:lang/>
        </w:rPr>
      </w:pPr>
      <w:bookmarkStart w:id="14" w:name="Basic_concepts"/>
      <w:bookmarkEnd w:id="14"/>
      <w:r w:rsidRPr="00195ACE">
        <w:rPr>
          <w:rStyle w:val="mw-headline"/>
          <w:b w:val="0"/>
          <w:color w:val="000000"/>
          <w:lang/>
        </w:rPr>
        <w:t xml:space="preserve">Basic </w:t>
      </w:r>
      <w:r>
        <w:rPr>
          <w:rStyle w:val="mw-headline"/>
          <w:b w:val="0"/>
          <w:color w:val="000000"/>
          <w:lang/>
        </w:rPr>
        <w:t>C</w:t>
      </w:r>
      <w:r w:rsidRPr="00195ACE">
        <w:rPr>
          <w:rStyle w:val="mw-headline"/>
          <w:b w:val="0"/>
          <w:color w:val="000000"/>
          <w:lang/>
        </w:rPr>
        <w:t>oncepts</w:t>
      </w:r>
    </w:p>
    <w:p w:rsidR="00D507EA" w:rsidRPr="00125F63" w:rsidRDefault="00D507EA" w:rsidP="00D507EA">
      <w:pPr>
        <w:pStyle w:val="NormalWeb"/>
        <w:rPr>
          <w:rFonts w:ascii="Tunga" w:hAnsi="Tunga" w:cs="Tunga"/>
          <w:color w:val="000000"/>
          <w:sz w:val="22"/>
          <w:szCs w:val="22"/>
          <w:lang/>
        </w:rPr>
      </w:pPr>
      <w:r w:rsidRPr="00125F63">
        <w:rPr>
          <w:rFonts w:ascii="Tunga" w:hAnsi="Tunga" w:cs="Tunga"/>
          <w:color w:val="000000"/>
          <w:sz w:val="22"/>
          <w:szCs w:val="22"/>
          <w:lang/>
        </w:rPr>
        <w:t>To achieve basic objectives and implement fundamental qualities GAAP has four basic assumptions, four basic principles, and four basic constraints.</w:t>
      </w:r>
    </w:p>
    <w:p w:rsidR="00D507EA" w:rsidRPr="00125F63" w:rsidRDefault="00D507EA" w:rsidP="00D507EA">
      <w:pPr>
        <w:pStyle w:val="Heading3"/>
        <w:rPr>
          <w:b w:val="0"/>
          <w:color w:val="000000"/>
          <w:sz w:val="32"/>
          <w:szCs w:val="32"/>
          <w:lang/>
        </w:rPr>
      </w:pPr>
      <w:bookmarkStart w:id="15" w:name="Assumptions"/>
      <w:bookmarkEnd w:id="15"/>
      <w:r w:rsidRPr="00125F63">
        <w:rPr>
          <w:rStyle w:val="mw-headline"/>
          <w:b w:val="0"/>
          <w:color w:val="000000"/>
          <w:sz w:val="32"/>
          <w:szCs w:val="32"/>
          <w:lang/>
        </w:rPr>
        <w:t>Assumptions</w:t>
      </w:r>
    </w:p>
    <w:p w:rsidR="00D507EA" w:rsidRPr="00195ACE" w:rsidRDefault="00D507EA" w:rsidP="00D507EA">
      <w:pPr>
        <w:numPr>
          <w:ilvl w:val="0"/>
          <w:numId w:val="15"/>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Economic Entity Assumption</w:t>
      </w:r>
      <w:r w:rsidRPr="00195ACE">
        <w:rPr>
          <w:rFonts w:ascii="Tunga" w:hAnsi="Tunga" w:cs="Tunga"/>
          <w:color w:val="000000"/>
          <w:sz w:val="22"/>
          <w:szCs w:val="22"/>
          <w:lang/>
        </w:rPr>
        <w:t xml:space="preserve"> assumes that the business is separate from its owners or other businesses. Revenues and expenses should be kept separate from personal expenses. This applies even for </w:t>
      </w:r>
      <w:hyperlink r:id="rId53" w:tooltip="Partnership" w:history="1">
        <w:r w:rsidRPr="00195ACE">
          <w:rPr>
            <w:rStyle w:val="Hyperlink"/>
            <w:rFonts w:ascii="Tunga" w:hAnsi="Tunga" w:cs="Tunga"/>
            <w:color w:val="000000"/>
            <w:sz w:val="22"/>
            <w:szCs w:val="22"/>
            <w:u w:val="none"/>
            <w:lang/>
          </w:rPr>
          <w:t>partnerships</w:t>
        </w:r>
      </w:hyperlink>
      <w:r w:rsidRPr="00195ACE">
        <w:rPr>
          <w:rFonts w:ascii="Tunga" w:hAnsi="Tunga" w:cs="Tunga"/>
          <w:color w:val="000000"/>
          <w:sz w:val="22"/>
          <w:szCs w:val="22"/>
          <w:lang/>
        </w:rPr>
        <w:t xml:space="preserve"> and </w:t>
      </w:r>
      <w:hyperlink r:id="rId54" w:tooltip="Sole proprietorship" w:history="1">
        <w:r w:rsidRPr="00195ACE">
          <w:rPr>
            <w:rStyle w:val="Hyperlink"/>
            <w:rFonts w:ascii="Tunga" w:hAnsi="Tunga" w:cs="Tunga"/>
            <w:color w:val="000000"/>
            <w:sz w:val="22"/>
            <w:szCs w:val="22"/>
            <w:u w:val="none"/>
            <w:lang/>
          </w:rPr>
          <w:t>sole proprietorships</w:t>
        </w:r>
      </w:hyperlink>
      <w:r>
        <w:rPr>
          <w:rFonts w:ascii="Tunga" w:hAnsi="Tunga" w:cs="Tunga"/>
          <w:color w:val="000000"/>
          <w:sz w:val="22"/>
          <w:szCs w:val="22"/>
          <w:lang/>
        </w:rPr>
        <w:t xml:space="preserve"> </w:t>
      </w:r>
      <w:r w:rsidRPr="00195ACE">
        <w:rPr>
          <w:rFonts w:ascii="Tunga" w:hAnsi="Tunga" w:cs="Tunga"/>
          <w:color w:val="000000"/>
          <w:sz w:val="22"/>
          <w:szCs w:val="22"/>
          <w:lang/>
        </w:rPr>
        <w:t xml:space="preserve">as corporates they are considered separate legal entities </w:t>
      </w:r>
    </w:p>
    <w:p w:rsidR="00D507EA" w:rsidRPr="00195ACE" w:rsidRDefault="00D507EA" w:rsidP="00D507EA">
      <w:pPr>
        <w:numPr>
          <w:ilvl w:val="0"/>
          <w:numId w:val="15"/>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Going Concern Assumption</w:t>
      </w:r>
      <w:r w:rsidRPr="00195ACE">
        <w:rPr>
          <w:rFonts w:ascii="Tunga" w:hAnsi="Tunga" w:cs="Tunga"/>
          <w:color w:val="000000"/>
          <w:sz w:val="22"/>
          <w:szCs w:val="22"/>
          <w:lang/>
        </w:rPr>
        <w:t xml:space="preserve"> assumes that the business will be in operation for a long time. This validates the methods of asset capitalization, depreciation, and amortization. Only when liquidation is certain is this assumption not applicable. </w:t>
      </w:r>
    </w:p>
    <w:p w:rsidR="00D507EA" w:rsidRPr="00195ACE" w:rsidRDefault="00D507EA" w:rsidP="00D507EA">
      <w:pPr>
        <w:numPr>
          <w:ilvl w:val="0"/>
          <w:numId w:val="15"/>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Monetary Unit Assumption</w:t>
      </w:r>
      <w:r w:rsidRPr="00195ACE">
        <w:rPr>
          <w:rFonts w:ascii="Tunga" w:hAnsi="Tunga" w:cs="Tunga"/>
          <w:color w:val="000000"/>
          <w:sz w:val="22"/>
          <w:szCs w:val="22"/>
          <w:lang/>
        </w:rPr>
        <w:t xml:space="preserve"> assumes a stable </w:t>
      </w:r>
      <w:hyperlink r:id="rId55" w:tooltip="Currency" w:history="1">
        <w:r w:rsidRPr="00195ACE">
          <w:rPr>
            <w:rStyle w:val="Hyperlink"/>
            <w:rFonts w:ascii="Tunga" w:hAnsi="Tunga" w:cs="Tunga"/>
            <w:color w:val="000000"/>
            <w:sz w:val="22"/>
            <w:szCs w:val="22"/>
            <w:u w:val="none"/>
            <w:lang/>
          </w:rPr>
          <w:t>currency</w:t>
        </w:r>
      </w:hyperlink>
      <w:r w:rsidRPr="00195ACE">
        <w:rPr>
          <w:rFonts w:ascii="Tunga" w:hAnsi="Tunga" w:cs="Tunga"/>
          <w:color w:val="000000"/>
          <w:sz w:val="22"/>
          <w:szCs w:val="22"/>
          <w:lang/>
        </w:rPr>
        <w:t xml:space="preserve"> is going to be the unit of record. The </w:t>
      </w:r>
      <w:hyperlink r:id="rId56" w:tooltip="FASB" w:history="1">
        <w:r w:rsidRPr="00195ACE">
          <w:rPr>
            <w:rStyle w:val="Hyperlink"/>
            <w:rFonts w:ascii="Tunga" w:hAnsi="Tunga" w:cs="Tunga"/>
            <w:color w:val="000000"/>
            <w:sz w:val="22"/>
            <w:szCs w:val="22"/>
            <w:u w:val="none"/>
            <w:lang/>
          </w:rPr>
          <w:t>FASB</w:t>
        </w:r>
      </w:hyperlink>
      <w:r w:rsidRPr="00195ACE">
        <w:rPr>
          <w:rFonts w:ascii="Tunga" w:hAnsi="Tunga" w:cs="Tunga"/>
          <w:color w:val="000000"/>
          <w:sz w:val="22"/>
          <w:szCs w:val="22"/>
          <w:lang/>
        </w:rPr>
        <w:t xml:space="preserve"> accepts the nominal value of the </w:t>
      </w:r>
      <w:hyperlink r:id="rId57" w:tooltip="US Dollar" w:history="1">
        <w:r w:rsidRPr="00195ACE">
          <w:rPr>
            <w:rStyle w:val="Hyperlink"/>
            <w:rFonts w:ascii="Tunga" w:hAnsi="Tunga" w:cs="Tunga"/>
            <w:color w:val="000000"/>
            <w:sz w:val="22"/>
            <w:szCs w:val="22"/>
            <w:u w:val="none"/>
            <w:lang/>
          </w:rPr>
          <w:t>US Dollar</w:t>
        </w:r>
      </w:hyperlink>
      <w:r w:rsidRPr="00195ACE">
        <w:rPr>
          <w:rFonts w:ascii="Tunga" w:hAnsi="Tunga" w:cs="Tunga"/>
          <w:color w:val="000000"/>
          <w:sz w:val="22"/>
          <w:szCs w:val="22"/>
          <w:lang/>
        </w:rPr>
        <w:t xml:space="preserve"> as the monetary unit of r</w:t>
      </w:r>
      <w:r w:rsidR="00371B77">
        <w:rPr>
          <w:rFonts w:ascii="Tunga" w:hAnsi="Tunga" w:cs="Tunga"/>
          <w:color w:val="000000"/>
          <w:sz w:val="22"/>
          <w:szCs w:val="22"/>
          <w:lang/>
        </w:rPr>
        <w:t xml:space="preserve">ecord unadjusted for inflation (The IAI accepts the nominal value of IDR as the monetary </w:t>
      </w:r>
      <w:r w:rsidR="00371B77" w:rsidRPr="00195ACE">
        <w:rPr>
          <w:rFonts w:ascii="Tunga" w:hAnsi="Tunga" w:cs="Tunga"/>
          <w:color w:val="000000"/>
          <w:sz w:val="22"/>
          <w:szCs w:val="22"/>
          <w:lang/>
        </w:rPr>
        <w:t>unit of r</w:t>
      </w:r>
      <w:r w:rsidR="00371B77">
        <w:rPr>
          <w:rFonts w:ascii="Tunga" w:hAnsi="Tunga" w:cs="Tunga"/>
          <w:color w:val="000000"/>
          <w:sz w:val="22"/>
          <w:szCs w:val="22"/>
          <w:lang/>
        </w:rPr>
        <w:t>ecord unadjusted for inflation)</w:t>
      </w:r>
    </w:p>
    <w:p w:rsidR="00D507EA" w:rsidRPr="00195ACE" w:rsidRDefault="00D507EA" w:rsidP="00D507EA">
      <w:pPr>
        <w:numPr>
          <w:ilvl w:val="0"/>
          <w:numId w:val="15"/>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Periodic Reporting Assumption</w:t>
      </w:r>
      <w:r w:rsidRPr="00195ACE">
        <w:rPr>
          <w:rFonts w:ascii="Tunga" w:hAnsi="Tunga" w:cs="Tunga"/>
          <w:color w:val="000000"/>
          <w:sz w:val="22"/>
          <w:szCs w:val="22"/>
          <w:lang/>
        </w:rPr>
        <w:t xml:space="preserve"> assumes that the business operations can be recorded and separated into different periods (most common periods are months, quarters and years). This is required for comparison between present and past performance. </w:t>
      </w:r>
    </w:p>
    <w:p w:rsidR="00D507EA" w:rsidRPr="00125F63" w:rsidRDefault="00D507EA" w:rsidP="00D507EA">
      <w:pPr>
        <w:pStyle w:val="Heading3"/>
        <w:rPr>
          <w:b w:val="0"/>
          <w:color w:val="000000"/>
          <w:sz w:val="32"/>
          <w:szCs w:val="32"/>
          <w:lang/>
        </w:rPr>
      </w:pPr>
      <w:bookmarkStart w:id="16" w:name="Principles"/>
      <w:bookmarkEnd w:id="16"/>
      <w:r w:rsidRPr="00125F63">
        <w:rPr>
          <w:rStyle w:val="mw-headline"/>
          <w:b w:val="0"/>
          <w:color w:val="000000"/>
          <w:sz w:val="32"/>
          <w:szCs w:val="32"/>
          <w:lang/>
        </w:rPr>
        <w:t>Principles</w:t>
      </w:r>
    </w:p>
    <w:p w:rsidR="00D507EA" w:rsidRPr="00195ACE" w:rsidRDefault="00D507EA" w:rsidP="00D507EA">
      <w:pPr>
        <w:numPr>
          <w:ilvl w:val="0"/>
          <w:numId w:val="16"/>
        </w:numPr>
        <w:spacing w:before="100" w:beforeAutospacing="1" w:after="100" w:afterAutospacing="1"/>
        <w:rPr>
          <w:rFonts w:ascii="Tunga" w:hAnsi="Tunga" w:cs="Tunga"/>
          <w:color w:val="000000"/>
          <w:sz w:val="22"/>
          <w:szCs w:val="22"/>
          <w:lang/>
        </w:rPr>
      </w:pPr>
      <w:r w:rsidRPr="00195ACE">
        <w:rPr>
          <w:rFonts w:ascii="Tunga" w:hAnsi="Tunga" w:cs="Tunga"/>
          <w:color w:val="000000"/>
          <w:sz w:val="22"/>
          <w:szCs w:val="22"/>
          <w:lang/>
        </w:rPr>
        <w:t xml:space="preserve">The </w:t>
      </w:r>
      <w:r w:rsidRPr="00195ACE">
        <w:rPr>
          <w:rFonts w:ascii="Tunga" w:hAnsi="Tunga" w:cs="Tunga"/>
          <w:bCs/>
          <w:color w:val="000000"/>
          <w:sz w:val="22"/>
          <w:szCs w:val="22"/>
          <w:lang/>
        </w:rPr>
        <w:t>historical cost principle</w:t>
      </w:r>
      <w:r w:rsidRPr="00195ACE">
        <w:rPr>
          <w:rFonts w:ascii="Tunga" w:hAnsi="Tunga" w:cs="Tunga"/>
          <w:color w:val="000000"/>
          <w:sz w:val="22"/>
          <w:szCs w:val="22"/>
          <w:lang/>
        </w:rPr>
        <w:t xml:space="preserve"> requires companies to account and report based on acquisition costs rather than </w:t>
      </w:r>
      <w:hyperlink r:id="rId58" w:tooltip="Fair market value" w:history="1">
        <w:r w:rsidRPr="00195ACE">
          <w:rPr>
            <w:rStyle w:val="Hyperlink"/>
            <w:rFonts w:ascii="Tunga" w:hAnsi="Tunga" w:cs="Tunga"/>
            <w:color w:val="000000"/>
            <w:sz w:val="22"/>
            <w:szCs w:val="22"/>
            <w:u w:val="none"/>
            <w:lang/>
          </w:rPr>
          <w:t>fair market value</w:t>
        </w:r>
      </w:hyperlink>
      <w:r w:rsidRPr="00195ACE">
        <w:rPr>
          <w:rFonts w:ascii="Tunga" w:hAnsi="Tunga" w:cs="Tunga"/>
          <w:color w:val="000000"/>
          <w:sz w:val="22"/>
          <w:szCs w:val="22"/>
          <w:lang/>
        </w:rPr>
        <w:t xml:space="preserve"> for most assets and liabilities. This </w:t>
      </w:r>
      <w:r w:rsidRPr="00195ACE">
        <w:rPr>
          <w:rFonts w:ascii="Tunga" w:hAnsi="Tunga" w:cs="Tunga"/>
          <w:color w:val="000000"/>
          <w:sz w:val="22"/>
          <w:szCs w:val="22"/>
          <w:lang/>
        </w:rPr>
        <w:lastRenderedPageBreak/>
        <w:t xml:space="preserve">principle provides information that is reliable (removing opportunity to provide subjective and potentially biased market values), but not very relevant. Thus there is a trend to use fair values. Most debts and securities are now reported at market values. </w:t>
      </w:r>
    </w:p>
    <w:p w:rsidR="00D507EA" w:rsidRPr="00195ACE" w:rsidRDefault="00D507EA" w:rsidP="00D507EA">
      <w:pPr>
        <w:numPr>
          <w:ilvl w:val="0"/>
          <w:numId w:val="16"/>
        </w:numPr>
        <w:spacing w:before="100" w:beforeAutospacing="1" w:after="100" w:afterAutospacing="1"/>
        <w:rPr>
          <w:rFonts w:ascii="Tunga" w:hAnsi="Tunga" w:cs="Tunga"/>
          <w:color w:val="000000"/>
          <w:sz w:val="22"/>
          <w:szCs w:val="22"/>
          <w:lang/>
        </w:rPr>
      </w:pPr>
      <w:r w:rsidRPr="00195ACE">
        <w:rPr>
          <w:rFonts w:ascii="Tunga" w:hAnsi="Tunga" w:cs="Tunga"/>
          <w:color w:val="000000"/>
          <w:sz w:val="22"/>
          <w:szCs w:val="22"/>
          <w:lang/>
        </w:rPr>
        <w:t xml:space="preserve">The </w:t>
      </w:r>
      <w:r w:rsidRPr="00195ACE">
        <w:rPr>
          <w:rFonts w:ascii="Tunga" w:hAnsi="Tunga" w:cs="Tunga"/>
          <w:bCs/>
          <w:color w:val="000000"/>
          <w:sz w:val="22"/>
          <w:szCs w:val="22"/>
          <w:lang/>
        </w:rPr>
        <w:t>revenue recognition principle</w:t>
      </w:r>
      <w:r w:rsidRPr="00195ACE">
        <w:rPr>
          <w:rFonts w:ascii="Tunga" w:hAnsi="Tunga" w:cs="Tunga"/>
          <w:color w:val="000000"/>
          <w:sz w:val="22"/>
          <w:szCs w:val="22"/>
          <w:lang/>
        </w:rPr>
        <w:t xml:space="preserve"> requires companies to record when revenue is (1) </w:t>
      </w:r>
      <w:hyperlink r:id="rId59" w:tooltip="Realize" w:history="1">
        <w:r w:rsidRPr="00195ACE">
          <w:rPr>
            <w:rStyle w:val="Hyperlink"/>
            <w:rFonts w:ascii="Tunga" w:hAnsi="Tunga" w:cs="Tunga"/>
            <w:color w:val="000000"/>
            <w:sz w:val="22"/>
            <w:szCs w:val="22"/>
            <w:u w:val="none"/>
            <w:lang/>
          </w:rPr>
          <w:t>realized</w:t>
        </w:r>
      </w:hyperlink>
      <w:r w:rsidRPr="00195ACE">
        <w:rPr>
          <w:rFonts w:ascii="Tunga" w:hAnsi="Tunga" w:cs="Tunga"/>
          <w:color w:val="000000"/>
          <w:sz w:val="22"/>
          <w:szCs w:val="22"/>
          <w:lang/>
        </w:rPr>
        <w:t xml:space="preserve"> or realizable and (2) </w:t>
      </w:r>
      <w:hyperlink r:id="rId60" w:tooltip="Earn" w:history="1">
        <w:r w:rsidRPr="00195ACE">
          <w:rPr>
            <w:rStyle w:val="Hyperlink"/>
            <w:rFonts w:ascii="Tunga" w:hAnsi="Tunga" w:cs="Tunga"/>
            <w:color w:val="000000"/>
            <w:sz w:val="22"/>
            <w:szCs w:val="22"/>
            <w:u w:val="none"/>
            <w:lang/>
          </w:rPr>
          <w:t>earned</w:t>
        </w:r>
      </w:hyperlink>
      <w:r w:rsidRPr="00195ACE">
        <w:rPr>
          <w:rFonts w:ascii="Tunga" w:hAnsi="Tunga" w:cs="Tunga"/>
          <w:color w:val="000000"/>
          <w:sz w:val="22"/>
          <w:szCs w:val="22"/>
          <w:lang/>
        </w:rPr>
        <w:t xml:space="preserve">, not when cash is received. This way of accounting is called </w:t>
      </w:r>
      <w:hyperlink r:id="rId61" w:tooltip="Accrual basis accounting" w:history="1">
        <w:r w:rsidRPr="00195ACE">
          <w:rPr>
            <w:rStyle w:val="Hyperlink"/>
            <w:rFonts w:ascii="Tunga" w:hAnsi="Tunga" w:cs="Tunga"/>
            <w:color w:val="000000"/>
            <w:sz w:val="22"/>
            <w:szCs w:val="22"/>
            <w:u w:val="none"/>
            <w:lang/>
          </w:rPr>
          <w:t>accrual basis accounting</w:t>
        </w:r>
      </w:hyperlink>
      <w:r w:rsidRPr="00195ACE">
        <w:rPr>
          <w:rFonts w:ascii="Tunga" w:hAnsi="Tunga" w:cs="Tunga"/>
          <w:color w:val="000000"/>
          <w:sz w:val="22"/>
          <w:szCs w:val="22"/>
          <w:lang/>
        </w:rPr>
        <w:t xml:space="preserve">. </w:t>
      </w:r>
    </w:p>
    <w:p w:rsidR="00D507EA" w:rsidRPr="00195ACE" w:rsidRDefault="00D507EA" w:rsidP="00D507EA">
      <w:pPr>
        <w:numPr>
          <w:ilvl w:val="0"/>
          <w:numId w:val="16"/>
        </w:numPr>
        <w:spacing w:before="100" w:beforeAutospacing="1" w:after="100" w:afterAutospacing="1"/>
        <w:rPr>
          <w:rFonts w:ascii="Tunga" w:hAnsi="Tunga" w:cs="Tunga"/>
          <w:color w:val="000000"/>
          <w:sz w:val="22"/>
          <w:szCs w:val="22"/>
          <w:lang/>
        </w:rPr>
      </w:pPr>
      <w:r w:rsidRPr="00195ACE">
        <w:rPr>
          <w:rFonts w:ascii="Tunga" w:hAnsi="Tunga" w:cs="Tunga"/>
          <w:color w:val="000000"/>
          <w:sz w:val="22"/>
          <w:szCs w:val="22"/>
          <w:lang/>
        </w:rPr>
        <w:t xml:space="preserve">The </w:t>
      </w:r>
      <w:hyperlink r:id="rId62" w:tooltip="Matching principle" w:history="1">
        <w:r w:rsidRPr="00195ACE">
          <w:rPr>
            <w:rStyle w:val="Hyperlink"/>
            <w:rFonts w:ascii="Tunga" w:hAnsi="Tunga" w:cs="Tunga"/>
            <w:bCs/>
            <w:color w:val="000000"/>
            <w:sz w:val="22"/>
            <w:szCs w:val="22"/>
            <w:u w:val="none"/>
            <w:lang/>
          </w:rPr>
          <w:t>matching principle</w:t>
        </w:r>
      </w:hyperlink>
      <w:r w:rsidRPr="00195ACE">
        <w:rPr>
          <w:rFonts w:ascii="Tunga" w:hAnsi="Tunga" w:cs="Tunga"/>
          <w:color w:val="000000"/>
          <w:sz w:val="22"/>
          <w:szCs w:val="22"/>
          <w:lang/>
        </w:rPr>
        <w:t xml:space="preserve">. </w:t>
      </w:r>
      <w:hyperlink r:id="rId63" w:tooltip="Expense" w:history="1">
        <w:r w:rsidRPr="00195ACE">
          <w:rPr>
            <w:rStyle w:val="Hyperlink"/>
            <w:rFonts w:ascii="Tunga" w:hAnsi="Tunga" w:cs="Tunga"/>
            <w:color w:val="000000"/>
            <w:sz w:val="22"/>
            <w:szCs w:val="22"/>
            <w:u w:val="none"/>
            <w:lang/>
          </w:rPr>
          <w:t>Expenses</w:t>
        </w:r>
      </w:hyperlink>
      <w:r w:rsidRPr="00195ACE">
        <w:rPr>
          <w:rFonts w:ascii="Tunga" w:hAnsi="Tunga" w:cs="Tunga"/>
          <w:color w:val="000000"/>
          <w:sz w:val="22"/>
          <w:szCs w:val="22"/>
          <w:lang/>
        </w:rPr>
        <w:t xml:space="preserve"> have to be matched with </w:t>
      </w:r>
      <w:hyperlink r:id="rId64" w:tooltip="Revenue" w:history="1">
        <w:r w:rsidRPr="00195ACE">
          <w:rPr>
            <w:rStyle w:val="Hyperlink"/>
            <w:rFonts w:ascii="Tunga" w:hAnsi="Tunga" w:cs="Tunga"/>
            <w:color w:val="000000"/>
            <w:sz w:val="22"/>
            <w:szCs w:val="22"/>
            <w:u w:val="none"/>
            <w:lang/>
          </w:rPr>
          <w:t>revenues</w:t>
        </w:r>
      </w:hyperlink>
      <w:r w:rsidRPr="00195ACE">
        <w:rPr>
          <w:rFonts w:ascii="Tunga" w:hAnsi="Tunga" w:cs="Tunga"/>
          <w:color w:val="000000"/>
          <w:sz w:val="22"/>
          <w:szCs w:val="22"/>
          <w:lang/>
        </w:rPr>
        <w:t xml:space="preserve"> as long as it is reasonable to do so. Expenses are recognized not when the work is performed, or when a product is produced, but when the work or the product actually makes its contribution to revenue. Only if no connection with revenue can be established, cost can be charged as expenses to the current period (e.g. office salaries and other administrative expenses). This principle allows greater evaluation of actual profitability and performance (shows how much was spent to earn revenue). Depreciation and Cost of Goods Sold are good examples of application of this principle. </w:t>
      </w:r>
    </w:p>
    <w:p w:rsidR="00D507EA" w:rsidRPr="00195ACE" w:rsidRDefault="00D507EA" w:rsidP="00D507EA">
      <w:pPr>
        <w:numPr>
          <w:ilvl w:val="0"/>
          <w:numId w:val="16"/>
        </w:numPr>
        <w:spacing w:before="100" w:beforeAutospacing="1" w:after="100" w:afterAutospacing="1"/>
        <w:rPr>
          <w:rFonts w:ascii="Tunga" w:hAnsi="Tunga" w:cs="Tunga"/>
          <w:color w:val="000000"/>
          <w:sz w:val="22"/>
          <w:szCs w:val="22"/>
          <w:lang/>
        </w:rPr>
      </w:pPr>
      <w:r w:rsidRPr="00195ACE">
        <w:rPr>
          <w:rFonts w:ascii="Tunga" w:hAnsi="Tunga" w:cs="Tunga"/>
          <w:color w:val="000000"/>
          <w:sz w:val="22"/>
          <w:szCs w:val="22"/>
          <w:lang/>
        </w:rPr>
        <w:t xml:space="preserve">The </w:t>
      </w:r>
      <w:r w:rsidRPr="00195ACE">
        <w:rPr>
          <w:rFonts w:ascii="Tunga" w:hAnsi="Tunga" w:cs="Tunga"/>
          <w:bCs/>
          <w:color w:val="000000"/>
          <w:sz w:val="22"/>
          <w:szCs w:val="22"/>
          <w:lang/>
        </w:rPr>
        <w:t>full disclosure principle</w:t>
      </w:r>
      <w:r w:rsidRPr="00195ACE">
        <w:rPr>
          <w:rFonts w:ascii="Tunga" w:hAnsi="Tunga" w:cs="Tunga"/>
          <w:color w:val="000000"/>
          <w:sz w:val="22"/>
          <w:szCs w:val="22"/>
          <w:lang/>
        </w:rPr>
        <w:t xml:space="preserve">. Amount and kinds of information disclosed should be decided based on trade-off analysis as a larger amount of information costs more to prepare and use. Information disclosed should be enough to make a judgment while keeping costs reasonable. Information is presented in the main body of financial statements, in the notes or as supplementary information. </w:t>
      </w:r>
    </w:p>
    <w:p w:rsidR="00D507EA" w:rsidRPr="00125F63" w:rsidRDefault="00D507EA" w:rsidP="00D507EA">
      <w:pPr>
        <w:pStyle w:val="Heading3"/>
        <w:rPr>
          <w:b w:val="0"/>
          <w:color w:val="000000"/>
          <w:sz w:val="32"/>
          <w:szCs w:val="32"/>
          <w:lang/>
        </w:rPr>
      </w:pPr>
      <w:bookmarkStart w:id="17" w:name="Constraints"/>
      <w:bookmarkEnd w:id="17"/>
      <w:r w:rsidRPr="00125F63">
        <w:rPr>
          <w:rStyle w:val="mw-headline"/>
          <w:b w:val="0"/>
          <w:color w:val="000000"/>
          <w:sz w:val="32"/>
          <w:szCs w:val="32"/>
          <w:lang/>
        </w:rPr>
        <w:t>Constraints</w:t>
      </w:r>
    </w:p>
    <w:p w:rsidR="00D507EA" w:rsidRPr="00195ACE" w:rsidRDefault="00D507EA" w:rsidP="00D507EA">
      <w:pPr>
        <w:numPr>
          <w:ilvl w:val="0"/>
          <w:numId w:val="17"/>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Cost-benefit relationship</w:t>
      </w:r>
      <w:r w:rsidRPr="00195ACE">
        <w:rPr>
          <w:rFonts w:ascii="Tunga" w:hAnsi="Tunga" w:cs="Tunga"/>
          <w:color w:val="000000"/>
          <w:sz w:val="22"/>
          <w:szCs w:val="22"/>
          <w:lang/>
        </w:rPr>
        <w:t xml:space="preserve"> states that the benefit of providing the financial information should also be weighed against the cost of providing it. </w:t>
      </w:r>
    </w:p>
    <w:p w:rsidR="00D507EA" w:rsidRPr="00195ACE" w:rsidRDefault="00D507EA" w:rsidP="00D507EA">
      <w:pPr>
        <w:numPr>
          <w:ilvl w:val="0"/>
          <w:numId w:val="17"/>
        </w:numPr>
        <w:spacing w:before="100" w:beforeAutospacing="1" w:after="100" w:afterAutospacing="1"/>
        <w:rPr>
          <w:rFonts w:ascii="Tunga" w:hAnsi="Tunga" w:cs="Tunga"/>
          <w:color w:val="000000"/>
          <w:sz w:val="22"/>
          <w:szCs w:val="22"/>
          <w:lang/>
        </w:rPr>
      </w:pPr>
      <w:hyperlink r:id="rId65" w:tooltip="Materiality" w:history="1">
        <w:r w:rsidRPr="00195ACE">
          <w:rPr>
            <w:rStyle w:val="Hyperlink"/>
            <w:rFonts w:ascii="Tunga" w:hAnsi="Tunga" w:cs="Tunga"/>
            <w:bCs/>
            <w:color w:val="000000"/>
            <w:sz w:val="22"/>
            <w:szCs w:val="22"/>
            <w:u w:val="none"/>
            <w:lang/>
          </w:rPr>
          <w:t>Materiality</w:t>
        </w:r>
      </w:hyperlink>
      <w:r w:rsidRPr="00195ACE">
        <w:rPr>
          <w:rFonts w:ascii="Tunga" w:hAnsi="Tunga" w:cs="Tunga"/>
          <w:color w:val="000000"/>
          <w:sz w:val="22"/>
          <w:szCs w:val="22"/>
          <w:lang/>
        </w:rPr>
        <w:t xml:space="preserve"> states that the significance of an item should be considered when it is reported. An item is considered significant when it would affect the decision of a reasonable individual. </w:t>
      </w:r>
    </w:p>
    <w:p w:rsidR="00D507EA" w:rsidRPr="00195ACE" w:rsidRDefault="00D507EA" w:rsidP="00D507EA">
      <w:pPr>
        <w:numPr>
          <w:ilvl w:val="0"/>
          <w:numId w:val="17"/>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Industry practices</w:t>
      </w:r>
      <w:r w:rsidRPr="00195ACE">
        <w:rPr>
          <w:rFonts w:ascii="Tunga" w:hAnsi="Tunga" w:cs="Tunga"/>
          <w:color w:val="000000"/>
          <w:sz w:val="22"/>
          <w:szCs w:val="22"/>
          <w:lang/>
        </w:rPr>
        <w:t xml:space="preserve"> states that accounting procedures should follow industry practices. </w:t>
      </w:r>
    </w:p>
    <w:p w:rsidR="00D507EA" w:rsidRPr="00195ACE" w:rsidRDefault="00D507EA" w:rsidP="00D507EA">
      <w:pPr>
        <w:numPr>
          <w:ilvl w:val="0"/>
          <w:numId w:val="17"/>
        </w:numPr>
        <w:spacing w:before="100" w:beforeAutospacing="1" w:after="100" w:afterAutospacing="1"/>
        <w:rPr>
          <w:color w:val="000000"/>
          <w:lang/>
        </w:rPr>
      </w:pPr>
      <w:r w:rsidRPr="00195ACE">
        <w:rPr>
          <w:rFonts w:ascii="Tunga" w:hAnsi="Tunga" w:cs="Tunga"/>
          <w:bCs/>
          <w:color w:val="000000"/>
          <w:sz w:val="22"/>
          <w:szCs w:val="22"/>
          <w:lang/>
        </w:rPr>
        <w:t>Conservatism</w:t>
      </w:r>
      <w:r w:rsidRPr="00195ACE">
        <w:rPr>
          <w:rFonts w:ascii="Tunga" w:hAnsi="Tunga" w:cs="Tunga"/>
          <w:color w:val="000000"/>
          <w:sz w:val="22"/>
          <w:szCs w:val="22"/>
          <w:lang/>
        </w:rPr>
        <w:t xml:space="preserve"> states that when choosing between two solutions, the one that will be least likely to overstate assets and income should be picked.</w:t>
      </w:r>
      <w:r w:rsidRPr="00195ACE">
        <w:rPr>
          <w:color w:val="000000"/>
          <w:lang/>
        </w:rPr>
        <w:t xml:space="preserve"> </w:t>
      </w:r>
    </w:p>
    <w:p w:rsidR="00D507EA" w:rsidRPr="00195ACE" w:rsidRDefault="00D507EA" w:rsidP="00D507EA">
      <w:pPr>
        <w:pStyle w:val="Heading2"/>
        <w:rPr>
          <w:b w:val="0"/>
          <w:color w:val="000000"/>
          <w:lang/>
        </w:rPr>
      </w:pPr>
      <w:bookmarkStart w:id="18" w:name="Setting_GAAP"/>
      <w:bookmarkEnd w:id="18"/>
      <w:r w:rsidRPr="00195ACE">
        <w:rPr>
          <w:rStyle w:val="mw-headline"/>
          <w:b w:val="0"/>
          <w:color w:val="000000"/>
          <w:lang/>
        </w:rPr>
        <w:t>Setting GAAP</w:t>
      </w:r>
    </w:p>
    <w:p w:rsidR="00D507EA" w:rsidRPr="00195ACE" w:rsidRDefault="00D507EA" w:rsidP="00D507EA">
      <w:pPr>
        <w:pStyle w:val="NormalWeb"/>
        <w:rPr>
          <w:rFonts w:ascii="Tunga" w:hAnsi="Tunga" w:cs="Tunga"/>
          <w:color w:val="000000"/>
          <w:sz w:val="22"/>
          <w:szCs w:val="22"/>
          <w:lang/>
        </w:rPr>
      </w:pPr>
      <w:r w:rsidRPr="00195ACE">
        <w:rPr>
          <w:rFonts w:ascii="Tunga" w:hAnsi="Tunga" w:cs="Tunga"/>
          <w:color w:val="000000"/>
          <w:sz w:val="22"/>
          <w:szCs w:val="22"/>
          <w:lang/>
        </w:rPr>
        <w:t xml:space="preserve">These organizations influence the development of GAAP in the </w:t>
      </w:r>
      <w:smartTag w:uri="urn:schemas-microsoft-com:office:smarttags" w:element="place">
        <w:smartTag w:uri="urn:schemas-microsoft-com:office:smarttags" w:element="country-region">
          <w:r w:rsidRPr="00195ACE">
            <w:rPr>
              <w:rFonts w:ascii="Tunga" w:hAnsi="Tunga" w:cs="Tunga"/>
              <w:color w:val="000000"/>
              <w:sz w:val="22"/>
              <w:szCs w:val="22"/>
              <w:lang/>
            </w:rPr>
            <w:t>United States</w:t>
          </w:r>
        </w:smartTag>
      </w:smartTag>
      <w:r w:rsidRPr="00195ACE">
        <w:rPr>
          <w:rFonts w:ascii="Tunga" w:hAnsi="Tunga" w:cs="Tunga"/>
          <w:color w:val="000000"/>
          <w:sz w:val="22"/>
          <w:szCs w:val="22"/>
          <w:lang/>
        </w:rPr>
        <w:t>.</w:t>
      </w:r>
    </w:p>
    <w:p w:rsidR="00D507EA" w:rsidRPr="00195ACE" w:rsidRDefault="00D507EA" w:rsidP="00D507EA">
      <w:pPr>
        <w:numPr>
          <w:ilvl w:val="0"/>
          <w:numId w:val="18"/>
        </w:numPr>
        <w:spacing w:before="100" w:beforeAutospacing="1" w:after="100" w:afterAutospacing="1"/>
        <w:rPr>
          <w:rFonts w:ascii="Tunga" w:hAnsi="Tunga" w:cs="Tunga"/>
          <w:color w:val="000000"/>
          <w:sz w:val="22"/>
          <w:szCs w:val="22"/>
          <w:lang/>
        </w:rPr>
      </w:pPr>
      <w:hyperlink r:id="rId66" w:tooltip="United States Securities and Exchange Commission" w:history="1">
        <w:r w:rsidRPr="00195ACE">
          <w:rPr>
            <w:rStyle w:val="Hyperlink"/>
            <w:rFonts w:ascii="Tunga" w:hAnsi="Tunga" w:cs="Tunga"/>
            <w:bCs/>
            <w:color w:val="000000"/>
            <w:sz w:val="22"/>
            <w:szCs w:val="22"/>
            <w:u w:val="none"/>
            <w:lang/>
          </w:rPr>
          <w:t>United States Securities and Exchange Commission</w:t>
        </w:r>
      </w:hyperlink>
      <w:r w:rsidRPr="00195ACE">
        <w:rPr>
          <w:rFonts w:ascii="Tunga" w:hAnsi="Tunga" w:cs="Tunga"/>
          <w:color w:val="000000"/>
          <w:sz w:val="22"/>
          <w:szCs w:val="22"/>
          <w:lang/>
        </w:rPr>
        <w:t xml:space="preserve"> (</w:t>
      </w:r>
      <w:r w:rsidRPr="00195ACE">
        <w:rPr>
          <w:rFonts w:ascii="Tunga" w:hAnsi="Tunga" w:cs="Tunga"/>
          <w:bCs/>
          <w:color w:val="000000"/>
          <w:sz w:val="22"/>
          <w:szCs w:val="22"/>
          <w:lang/>
        </w:rPr>
        <w:t>SEC</w:t>
      </w:r>
      <w:r w:rsidRPr="00195ACE">
        <w:rPr>
          <w:rFonts w:ascii="Tunga" w:hAnsi="Tunga" w:cs="Tunga"/>
          <w:color w:val="000000"/>
          <w:sz w:val="22"/>
          <w:szCs w:val="22"/>
          <w:lang/>
        </w:rPr>
        <w:t xml:space="preserve">) </w:t>
      </w:r>
    </w:p>
    <w:p w:rsidR="00D507EA" w:rsidRDefault="00D507EA" w:rsidP="00D507EA">
      <w:pPr>
        <w:rPr>
          <w:rFonts w:ascii="Tunga" w:hAnsi="Tunga" w:cs="Tunga"/>
          <w:color w:val="000000"/>
          <w:sz w:val="22"/>
          <w:szCs w:val="22"/>
          <w:lang/>
        </w:rPr>
      </w:pPr>
      <w:r w:rsidRPr="00195ACE">
        <w:rPr>
          <w:rFonts w:ascii="Tunga" w:hAnsi="Tunga" w:cs="Tunga"/>
          <w:color w:val="000000"/>
          <w:sz w:val="22"/>
          <w:szCs w:val="22"/>
          <w:lang/>
        </w:rPr>
        <w:t xml:space="preserve">The SEC was created as a result of the </w:t>
      </w:r>
      <w:hyperlink r:id="rId67" w:tooltip="Great Depression" w:history="1">
        <w:r w:rsidRPr="00195ACE">
          <w:rPr>
            <w:rStyle w:val="Hyperlink"/>
            <w:rFonts w:ascii="Tunga" w:hAnsi="Tunga" w:cs="Tunga"/>
            <w:color w:val="000000"/>
            <w:sz w:val="22"/>
            <w:szCs w:val="22"/>
            <w:u w:val="none"/>
            <w:lang/>
          </w:rPr>
          <w:t>Great Depression</w:t>
        </w:r>
      </w:hyperlink>
      <w:r w:rsidRPr="00195ACE">
        <w:rPr>
          <w:rFonts w:ascii="Tunga" w:hAnsi="Tunga" w:cs="Tunga"/>
          <w:color w:val="000000"/>
          <w:sz w:val="22"/>
          <w:szCs w:val="22"/>
          <w:lang/>
        </w:rPr>
        <w:t xml:space="preserve">. At that time there was no structure setting accounting standards. The SEC encouraged the establishment of private standard-setting bodies through the </w:t>
      </w:r>
      <w:hyperlink r:id="rId68" w:tooltip="AICPA" w:history="1">
        <w:r w:rsidRPr="00195ACE">
          <w:rPr>
            <w:rStyle w:val="Hyperlink"/>
            <w:rFonts w:ascii="Tunga" w:hAnsi="Tunga" w:cs="Tunga"/>
            <w:color w:val="000000"/>
            <w:sz w:val="22"/>
            <w:szCs w:val="22"/>
            <w:u w:val="none"/>
            <w:lang/>
          </w:rPr>
          <w:t>AICPA</w:t>
        </w:r>
      </w:hyperlink>
      <w:r w:rsidRPr="00195ACE">
        <w:rPr>
          <w:rFonts w:ascii="Tunga" w:hAnsi="Tunga" w:cs="Tunga"/>
          <w:color w:val="000000"/>
          <w:sz w:val="22"/>
          <w:szCs w:val="22"/>
          <w:lang/>
        </w:rPr>
        <w:t xml:space="preserve"> and later the </w:t>
      </w:r>
      <w:hyperlink r:id="rId69" w:tooltip="FASB" w:history="1">
        <w:r w:rsidRPr="00195ACE">
          <w:rPr>
            <w:rStyle w:val="Hyperlink"/>
            <w:rFonts w:ascii="Tunga" w:hAnsi="Tunga" w:cs="Tunga"/>
            <w:color w:val="000000"/>
            <w:sz w:val="22"/>
            <w:szCs w:val="22"/>
            <w:u w:val="none"/>
            <w:lang/>
          </w:rPr>
          <w:t>FASB</w:t>
        </w:r>
      </w:hyperlink>
      <w:r w:rsidRPr="00195ACE">
        <w:rPr>
          <w:rFonts w:ascii="Tunga" w:hAnsi="Tunga" w:cs="Tunga"/>
          <w:color w:val="000000"/>
          <w:sz w:val="22"/>
          <w:szCs w:val="22"/>
          <w:lang/>
        </w:rPr>
        <w:t>, believing that the private sector had the proper knowledge, resources, and talents. The SEC works closely with various private organizations setting GAAP, but does not set GAAP itself.</w:t>
      </w:r>
    </w:p>
    <w:p w:rsidR="002434B7" w:rsidRDefault="002434B7" w:rsidP="00D507EA">
      <w:pPr>
        <w:rPr>
          <w:rFonts w:ascii="Tunga" w:hAnsi="Tunga" w:cs="Tunga"/>
          <w:color w:val="000000"/>
          <w:sz w:val="22"/>
          <w:szCs w:val="22"/>
          <w:lang/>
        </w:rPr>
      </w:pPr>
    </w:p>
    <w:p w:rsidR="002434B7" w:rsidRDefault="002434B7" w:rsidP="00D507EA">
      <w:pPr>
        <w:rPr>
          <w:rFonts w:ascii="Tunga" w:hAnsi="Tunga" w:cs="Tunga"/>
          <w:color w:val="000000"/>
          <w:sz w:val="22"/>
          <w:szCs w:val="22"/>
          <w:lang/>
        </w:rPr>
      </w:pPr>
    </w:p>
    <w:p w:rsidR="002434B7" w:rsidRPr="00195ACE" w:rsidRDefault="002434B7" w:rsidP="00D507EA">
      <w:pPr>
        <w:rPr>
          <w:rFonts w:ascii="Tunga" w:hAnsi="Tunga" w:cs="Tunga"/>
          <w:color w:val="000000"/>
          <w:sz w:val="22"/>
          <w:szCs w:val="22"/>
          <w:lang/>
        </w:rPr>
      </w:pPr>
    </w:p>
    <w:p w:rsidR="00D507EA" w:rsidRPr="00195ACE" w:rsidRDefault="00D507EA" w:rsidP="00D507EA">
      <w:pPr>
        <w:numPr>
          <w:ilvl w:val="0"/>
          <w:numId w:val="19"/>
        </w:numPr>
        <w:spacing w:before="100" w:beforeAutospacing="1" w:after="100" w:afterAutospacing="1"/>
        <w:rPr>
          <w:rFonts w:ascii="Tunga" w:hAnsi="Tunga" w:cs="Tunga"/>
          <w:color w:val="000000"/>
          <w:sz w:val="22"/>
          <w:szCs w:val="22"/>
          <w:lang/>
        </w:rPr>
      </w:pPr>
      <w:hyperlink r:id="rId70" w:tooltip="American Institute of Certified Public Accountants" w:history="1">
        <w:r w:rsidRPr="00195ACE">
          <w:rPr>
            <w:rStyle w:val="Hyperlink"/>
            <w:rFonts w:ascii="Tunga" w:hAnsi="Tunga" w:cs="Tunga"/>
            <w:bCs/>
            <w:color w:val="000000"/>
            <w:sz w:val="22"/>
            <w:szCs w:val="22"/>
            <w:u w:val="none"/>
            <w:lang/>
          </w:rPr>
          <w:t>American Institute of Certified Public Accountants</w:t>
        </w:r>
      </w:hyperlink>
      <w:r w:rsidRPr="00195ACE">
        <w:rPr>
          <w:rFonts w:ascii="Tunga" w:hAnsi="Tunga" w:cs="Tunga"/>
          <w:bCs/>
          <w:color w:val="000000"/>
          <w:sz w:val="22"/>
          <w:szCs w:val="22"/>
          <w:lang/>
        </w:rPr>
        <w:t xml:space="preserve"> (AICPA)</w:t>
      </w:r>
      <w:r w:rsidRPr="00195ACE">
        <w:rPr>
          <w:rFonts w:ascii="Tunga" w:hAnsi="Tunga" w:cs="Tunga"/>
          <w:color w:val="000000"/>
          <w:sz w:val="22"/>
          <w:szCs w:val="22"/>
          <w:lang/>
        </w:rPr>
        <w:t xml:space="preserve"> </w:t>
      </w:r>
    </w:p>
    <w:p w:rsidR="00D507EA" w:rsidRPr="00195ACE" w:rsidRDefault="00D507EA" w:rsidP="00D507EA">
      <w:pPr>
        <w:rPr>
          <w:rFonts w:ascii="Tunga" w:hAnsi="Tunga" w:cs="Tunga"/>
          <w:color w:val="000000"/>
          <w:sz w:val="22"/>
          <w:szCs w:val="22"/>
          <w:lang/>
        </w:rPr>
      </w:pPr>
      <w:r w:rsidRPr="00195ACE">
        <w:rPr>
          <w:rFonts w:ascii="Tunga" w:hAnsi="Tunga" w:cs="Tunga"/>
          <w:color w:val="000000"/>
          <w:sz w:val="22"/>
          <w:szCs w:val="22"/>
          <w:lang/>
        </w:rPr>
        <w:t xml:space="preserve">In 1939, urged by the SEC, the AICPA appointed the </w:t>
      </w:r>
      <w:r w:rsidRPr="00195ACE">
        <w:rPr>
          <w:rFonts w:ascii="Tunga" w:hAnsi="Tunga" w:cs="Tunga"/>
          <w:bCs/>
          <w:color w:val="000000"/>
          <w:sz w:val="22"/>
          <w:szCs w:val="22"/>
          <w:lang/>
        </w:rPr>
        <w:t>Committee on Accounting Procedure</w:t>
      </w:r>
      <w:r w:rsidRPr="00195ACE">
        <w:rPr>
          <w:rFonts w:ascii="Tunga" w:hAnsi="Tunga" w:cs="Tunga"/>
          <w:color w:val="000000"/>
          <w:sz w:val="22"/>
          <w:szCs w:val="22"/>
          <w:lang/>
        </w:rPr>
        <w:t xml:space="preserve"> (CAP). During the years 1939 to 1959 CAP issued 51 Accounting Research Bulletins that dealt with a variety of timely accounting problems. However, this problem-by-problem approach failed to develop the much needed structured body of accounting principles. Thus, in 1959, the AICPA created the </w:t>
      </w:r>
      <w:r w:rsidRPr="00195ACE">
        <w:rPr>
          <w:rFonts w:ascii="Tunga" w:hAnsi="Tunga" w:cs="Tunga"/>
          <w:bCs/>
          <w:color w:val="000000"/>
          <w:sz w:val="22"/>
          <w:szCs w:val="22"/>
          <w:lang/>
        </w:rPr>
        <w:t>Accounting Principles Board</w:t>
      </w:r>
      <w:r w:rsidRPr="00195ACE">
        <w:rPr>
          <w:rFonts w:ascii="Tunga" w:hAnsi="Tunga" w:cs="Tunga"/>
          <w:color w:val="000000"/>
          <w:sz w:val="22"/>
          <w:szCs w:val="22"/>
          <w:lang/>
        </w:rPr>
        <w:t xml:space="preserve"> (APB), whose mission it was to develop an overall conceptual framework. It </w:t>
      </w:r>
      <w:hyperlink r:id="rId71" w:tooltip="List of APB Opinions" w:history="1">
        <w:r w:rsidRPr="00195ACE">
          <w:rPr>
            <w:rStyle w:val="Hyperlink"/>
            <w:rFonts w:ascii="Tunga" w:hAnsi="Tunga" w:cs="Tunga"/>
            <w:color w:val="000000"/>
            <w:sz w:val="22"/>
            <w:szCs w:val="22"/>
            <w:u w:val="none"/>
            <w:lang/>
          </w:rPr>
          <w:t>issued 31 opinions</w:t>
        </w:r>
      </w:hyperlink>
      <w:r w:rsidRPr="00195ACE">
        <w:rPr>
          <w:rFonts w:ascii="Tunga" w:hAnsi="Tunga" w:cs="Tunga"/>
          <w:color w:val="000000"/>
          <w:sz w:val="22"/>
          <w:szCs w:val="22"/>
          <w:lang/>
        </w:rPr>
        <w:t xml:space="preserve"> and was dissolved in 1973 for lack of productivity and failure to act promptly. After the creation of the </w:t>
      </w:r>
      <w:hyperlink r:id="rId72" w:tooltip="FASB" w:history="1">
        <w:r w:rsidRPr="00195ACE">
          <w:rPr>
            <w:rStyle w:val="Hyperlink"/>
            <w:rFonts w:ascii="Tunga" w:hAnsi="Tunga" w:cs="Tunga"/>
            <w:color w:val="000000"/>
            <w:sz w:val="22"/>
            <w:szCs w:val="22"/>
            <w:u w:val="none"/>
            <w:lang/>
          </w:rPr>
          <w:t>FASB</w:t>
        </w:r>
      </w:hyperlink>
      <w:r w:rsidRPr="00195ACE">
        <w:rPr>
          <w:rFonts w:ascii="Tunga" w:hAnsi="Tunga" w:cs="Tunga"/>
          <w:color w:val="000000"/>
          <w:sz w:val="22"/>
          <w:szCs w:val="22"/>
          <w:lang/>
        </w:rPr>
        <w:t xml:space="preserve">, the AICPA established the </w:t>
      </w:r>
      <w:r w:rsidRPr="00195ACE">
        <w:rPr>
          <w:rFonts w:ascii="Tunga" w:hAnsi="Tunga" w:cs="Tunga"/>
          <w:bCs/>
          <w:color w:val="000000"/>
          <w:sz w:val="22"/>
          <w:szCs w:val="22"/>
          <w:lang/>
        </w:rPr>
        <w:t>Accounting Standards Executive Committee</w:t>
      </w:r>
      <w:r w:rsidRPr="00195ACE">
        <w:rPr>
          <w:rFonts w:ascii="Tunga" w:hAnsi="Tunga" w:cs="Tunga"/>
          <w:color w:val="000000"/>
          <w:sz w:val="22"/>
          <w:szCs w:val="22"/>
          <w:lang/>
        </w:rPr>
        <w:t xml:space="preserve"> (AcSEC). It publishes: </w:t>
      </w:r>
    </w:p>
    <w:p w:rsidR="00D507EA" w:rsidRPr="00195ACE" w:rsidRDefault="00D507EA" w:rsidP="00D507EA">
      <w:pPr>
        <w:numPr>
          <w:ilvl w:val="0"/>
          <w:numId w:val="20"/>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Audit and Accounting Guidelines</w:t>
      </w:r>
      <w:r w:rsidRPr="00195ACE">
        <w:rPr>
          <w:rFonts w:ascii="Tunga" w:hAnsi="Tunga" w:cs="Tunga"/>
          <w:color w:val="000000"/>
          <w:sz w:val="22"/>
          <w:szCs w:val="22"/>
          <w:lang/>
        </w:rPr>
        <w:t xml:space="preserve">, which summarizes the accounting practices of specific industries (e.g. casinos, colleges, airlines, etc.) and provides specific guidance on matters not addressed by FASB or GASB. </w:t>
      </w:r>
    </w:p>
    <w:p w:rsidR="00D507EA" w:rsidRPr="00195ACE" w:rsidRDefault="00D507EA" w:rsidP="00D507EA">
      <w:pPr>
        <w:numPr>
          <w:ilvl w:val="0"/>
          <w:numId w:val="20"/>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Statements of Position</w:t>
      </w:r>
      <w:r w:rsidRPr="00195ACE">
        <w:rPr>
          <w:rFonts w:ascii="Tunga" w:hAnsi="Tunga" w:cs="Tunga"/>
          <w:color w:val="000000"/>
          <w:sz w:val="22"/>
          <w:szCs w:val="22"/>
          <w:lang/>
        </w:rPr>
        <w:t xml:space="preserve">, which provides guidance on financial reporting topics until the FASB or GASB sets standards on the issue. </w:t>
      </w:r>
    </w:p>
    <w:p w:rsidR="00D507EA" w:rsidRPr="00195ACE" w:rsidRDefault="00D507EA" w:rsidP="00D507EA">
      <w:pPr>
        <w:numPr>
          <w:ilvl w:val="0"/>
          <w:numId w:val="20"/>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Practice Bulletins</w:t>
      </w:r>
      <w:r w:rsidRPr="00195ACE">
        <w:rPr>
          <w:rFonts w:ascii="Tunga" w:hAnsi="Tunga" w:cs="Tunga"/>
          <w:color w:val="000000"/>
          <w:sz w:val="22"/>
          <w:szCs w:val="22"/>
          <w:lang/>
        </w:rPr>
        <w:t xml:space="preserve">, which indicate the AcSEC's views on narrow financial reporting issues not considered by the FASB or the GASB. </w:t>
      </w:r>
    </w:p>
    <w:p w:rsidR="00D507EA" w:rsidRPr="00195ACE" w:rsidRDefault="00D507EA" w:rsidP="00D507EA">
      <w:pPr>
        <w:numPr>
          <w:ilvl w:val="0"/>
          <w:numId w:val="21"/>
        </w:numPr>
        <w:spacing w:before="100" w:beforeAutospacing="1" w:after="100" w:afterAutospacing="1"/>
        <w:rPr>
          <w:rFonts w:ascii="Tunga" w:hAnsi="Tunga" w:cs="Tunga"/>
          <w:color w:val="000000"/>
          <w:sz w:val="22"/>
          <w:szCs w:val="22"/>
          <w:lang/>
        </w:rPr>
      </w:pPr>
      <w:hyperlink r:id="rId73" w:tooltip="Financial Accounting Standards Board" w:history="1">
        <w:r w:rsidRPr="00195ACE">
          <w:rPr>
            <w:rStyle w:val="Hyperlink"/>
            <w:rFonts w:ascii="Tunga" w:hAnsi="Tunga" w:cs="Tunga"/>
            <w:bCs/>
            <w:color w:val="000000"/>
            <w:sz w:val="22"/>
            <w:szCs w:val="22"/>
            <w:u w:val="none"/>
            <w:lang/>
          </w:rPr>
          <w:t>Financial Accounting Standards Board</w:t>
        </w:r>
      </w:hyperlink>
      <w:r w:rsidRPr="00195ACE">
        <w:rPr>
          <w:rFonts w:ascii="Tunga" w:hAnsi="Tunga" w:cs="Tunga"/>
          <w:bCs/>
          <w:color w:val="000000"/>
          <w:sz w:val="22"/>
          <w:szCs w:val="22"/>
          <w:lang/>
        </w:rPr>
        <w:t xml:space="preserve"> (FASB)</w:t>
      </w:r>
      <w:r w:rsidRPr="00195ACE">
        <w:rPr>
          <w:rFonts w:ascii="Tunga" w:hAnsi="Tunga" w:cs="Tunga"/>
          <w:color w:val="000000"/>
          <w:sz w:val="22"/>
          <w:szCs w:val="22"/>
          <w:lang/>
        </w:rPr>
        <w:t xml:space="preserve"> </w:t>
      </w:r>
    </w:p>
    <w:p w:rsidR="00D507EA" w:rsidRPr="00195ACE" w:rsidRDefault="00D507EA" w:rsidP="00D507EA">
      <w:pPr>
        <w:rPr>
          <w:rFonts w:ascii="Tunga" w:hAnsi="Tunga" w:cs="Tunga"/>
          <w:color w:val="000000"/>
          <w:sz w:val="22"/>
          <w:szCs w:val="22"/>
          <w:lang/>
        </w:rPr>
      </w:pPr>
      <w:r w:rsidRPr="00195ACE">
        <w:rPr>
          <w:rFonts w:ascii="Tunga" w:hAnsi="Tunga" w:cs="Tunga"/>
          <w:color w:val="000000"/>
          <w:sz w:val="22"/>
          <w:szCs w:val="22"/>
          <w:lang/>
        </w:rPr>
        <w:t xml:space="preserve">Realizing the need to reform the APB, leaders in the accounting profession appointed a Study Group on the Establishment of Accounting Principles (commonly known as the </w:t>
      </w:r>
      <w:r w:rsidRPr="00195ACE">
        <w:rPr>
          <w:rFonts w:ascii="Tunga" w:hAnsi="Tunga" w:cs="Tunga"/>
          <w:bCs/>
          <w:color w:val="000000"/>
          <w:sz w:val="22"/>
          <w:szCs w:val="22"/>
          <w:lang/>
        </w:rPr>
        <w:t>Wheat Committee</w:t>
      </w:r>
      <w:r w:rsidRPr="00195ACE">
        <w:rPr>
          <w:rFonts w:ascii="Tunga" w:hAnsi="Tunga" w:cs="Tunga"/>
          <w:color w:val="000000"/>
          <w:sz w:val="22"/>
          <w:szCs w:val="22"/>
          <w:lang/>
        </w:rPr>
        <w:t xml:space="preserve"> for its chair Francis Wheat). This group determined that the APB must be dissolved and a new standard-setting structure be created. This structure is composed of three organizations: the Financial Accounting Foundation (FAF, it selects members of the FASB, funds and oversees their activities), the Financial Accounting Standards Advisory Council (FASAC), and the major operating organization in this structure the Financial Accounting Standards Board (FASB). FASB has 4 major types of publications: </w:t>
      </w:r>
    </w:p>
    <w:p w:rsidR="00D507EA" w:rsidRPr="00195ACE" w:rsidRDefault="00D507EA" w:rsidP="00D507EA">
      <w:pPr>
        <w:numPr>
          <w:ilvl w:val="0"/>
          <w:numId w:val="22"/>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Statements of Financial Accounting Standards</w:t>
      </w:r>
      <w:r w:rsidRPr="00195ACE">
        <w:rPr>
          <w:rFonts w:ascii="Tunga" w:hAnsi="Tunga" w:cs="Tunga"/>
          <w:color w:val="000000"/>
          <w:sz w:val="22"/>
          <w:szCs w:val="22"/>
          <w:lang/>
        </w:rPr>
        <w:t xml:space="preserve"> - the most authoritative GAAP setting publications. More than 150 have been issued to date. </w:t>
      </w:r>
    </w:p>
    <w:p w:rsidR="00D507EA" w:rsidRPr="00195ACE" w:rsidRDefault="00D507EA" w:rsidP="00D507EA">
      <w:pPr>
        <w:numPr>
          <w:ilvl w:val="0"/>
          <w:numId w:val="22"/>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Statements of Financial Accounting Concepts</w:t>
      </w:r>
      <w:r w:rsidRPr="00195ACE">
        <w:rPr>
          <w:rFonts w:ascii="Tunga" w:hAnsi="Tunga" w:cs="Tunga"/>
          <w:color w:val="000000"/>
          <w:sz w:val="22"/>
          <w:szCs w:val="22"/>
          <w:lang/>
        </w:rPr>
        <w:t xml:space="preserve"> - first issued in 1978. They are part of the FASB's conceptual framework project and set forth fundamental objectives and concepts that the FASB use in developing future standards. However, they are </w:t>
      </w:r>
      <w:r w:rsidRPr="00195ACE">
        <w:rPr>
          <w:rFonts w:ascii="Tunga" w:hAnsi="Tunga" w:cs="Tunga"/>
          <w:bCs/>
          <w:color w:val="000000"/>
          <w:sz w:val="22"/>
          <w:szCs w:val="22"/>
          <w:lang/>
        </w:rPr>
        <w:t>not</w:t>
      </w:r>
      <w:r w:rsidRPr="00195ACE">
        <w:rPr>
          <w:rFonts w:ascii="Tunga" w:hAnsi="Tunga" w:cs="Tunga"/>
          <w:color w:val="000000"/>
          <w:sz w:val="22"/>
          <w:szCs w:val="22"/>
          <w:lang/>
        </w:rPr>
        <w:t xml:space="preserve"> a part of GAAP. There have been </w:t>
      </w:r>
      <w:hyperlink r:id="rId74" w:tooltip="List of FASB Statements of Financial Accounting Concepts" w:history="1">
        <w:r w:rsidRPr="00195ACE">
          <w:rPr>
            <w:rStyle w:val="Hyperlink"/>
            <w:rFonts w:ascii="Tunga" w:hAnsi="Tunga" w:cs="Tunga"/>
            <w:color w:val="000000"/>
            <w:sz w:val="22"/>
            <w:szCs w:val="22"/>
            <w:u w:val="none"/>
            <w:lang/>
          </w:rPr>
          <w:t>7 concepts published to date</w:t>
        </w:r>
      </w:hyperlink>
      <w:r w:rsidRPr="00195ACE">
        <w:rPr>
          <w:rFonts w:ascii="Tunga" w:hAnsi="Tunga" w:cs="Tunga"/>
          <w:color w:val="000000"/>
          <w:sz w:val="22"/>
          <w:szCs w:val="22"/>
          <w:lang/>
        </w:rPr>
        <w:t xml:space="preserve">. </w:t>
      </w:r>
    </w:p>
    <w:p w:rsidR="00D507EA" w:rsidRPr="00195ACE" w:rsidRDefault="00D507EA" w:rsidP="00D507EA">
      <w:pPr>
        <w:numPr>
          <w:ilvl w:val="0"/>
          <w:numId w:val="22"/>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Interpretations</w:t>
      </w:r>
      <w:r w:rsidRPr="00195ACE">
        <w:rPr>
          <w:rFonts w:ascii="Tunga" w:hAnsi="Tunga" w:cs="Tunga"/>
          <w:color w:val="000000"/>
          <w:sz w:val="22"/>
          <w:szCs w:val="22"/>
          <w:lang/>
        </w:rPr>
        <w:t xml:space="preserve"> - modify or extend existing standards. There have been around </w:t>
      </w:r>
      <w:hyperlink r:id="rId75" w:tooltip="List of FASB Interpretations" w:history="1">
        <w:r w:rsidRPr="00195ACE">
          <w:rPr>
            <w:rStyle w:val="Hyperlink"/>
            <w:rFonts w:ascii="Tunga" w:hAnsi="Tunga" w:cs="Tunga"/>
            <w:color w:val="000000"/>
            <w:sz w:val="22"/>
            <w:szCs w:val="22"/>
            <w:u w:val="none"/>
            <w:lang/>
          </w:rPr>
          <w:t>50 interpretations published to date</w:t>
        </w:r>
      </w:hyperlink>
      <w:r w:rsidRPr="00195ACE">
        <w:rPr>
          <w:rFonts w:ascii="Tunga" w:hAnsi="Tunga" w:cs="Tunga"/>
          <w:color w:val="000000"/>
          <w:sz w:val="22"/>
          <w:szCs w:val="22"/>
          <w:lang/>
        </w:rPr>
        <w:t xml:space="preserve">. </w:t>
      </w:r>
    </w:p>
    <w:p w:rsidR="00D507EA" w:rsidRPr="00195ACE" w:rsidRDefault="00D507EA" w:rsidP="00D507EA">
      <w:pPr>
        <w:numPr>
          <w:ilvl w:val="0"/>
          <w:numId w:val="22"/>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Technical Bulletins</w:t>
      </w:r>
      <w:r w:rsidRPr="00195ACE">
        <w:rPr>
          <w:rFonts w:ascii="Tunga" w:hAnsi="Tunga" w:cs="Tunga"/>
          <w:color w:val="000000"/>
          <w:sz w:val="22"/>
          <w:szCs w:val="22"/>
          <w:lang/>
        </w:rPr>
        <w:t xml:space="preserve"> - guidelines on applying standards, interpretations, and opinions. Usually solves some very specific accounting issue that will not have a significant, lasting effect. </w:t>
      </w:r>
    </w:p>
    <w:p w:rsidR="00D507EA" w:rsidRPr="00195ACE" w:rsidRDefault="00D507EA" w:rsidP="00D507EA">
      <w:pPr>
        <w:rPr>
          <w:rFonts w:ascii="Tunga" w:hAnsi="Tunga" w:cs="Tunga"/>
          <w:color w:val="000000"/>
          <w:sz w:val="22"/>
          <w:szCs w:val="22"/>
          <w:lang/>
        </w:rPr>
      </w:pPr>
      <w:r w:rsidRPr="00195ACE">
        <w:rPr>
          <w:rFonts w:ascii="Tunga" w:hAnsi="Tunga" w:cs="Tunga"/>
          <w:color w:val="000000"/>
          <w:sz w:val="22"/>
          <w:szCs w:val="22"/>
          <w:lang/>
        </w:rPr>
        <w:t xml:space="preserve">In 1984 the FASB created the </w:t>
      </w:r>
      <w:r w:rsidRPr="00195ACE">
        <w:rPr>
          <w:rFonts w:ascii="Tunga" w:hAnsi="Tunga" w:cs="Tunga"/>
          <w:bCs/>
          <w:color w:val="000000"/>
          <w:sz w:val="22"/>
          <w:szCs w:val="22"/>
          <w:lang/>
        </w:rPr>
        <w:t>Emerging Issues Task Force</w:t>
      </w:r>
      <w:r w:rsidRPr="00195ACE">
        <w:rPr>
          <w:rFonts w:ascii="Tunga" w:hAnsi="Tunga" w:cs="Tunga"/>
          <w:color w:val="000000"/>
          <w:sz w:val="22"/>
          <w:szCs w:val="22"/>
          <w:lang/>
        </w:rPr>
        <w:t xml:space="preserve"> (EITF) which deals with new and unusual financial transactions that have the potential to become common (e.g. accounting for Internet based companies). It acts more like a problem filter for the FASB - the EITF deals with short-term, quickly resolvable issues, leaving long-term, more pervasive problems for the FASB.</w:t>
      </w:r>
    </w:p>
    <w:p w:rsidR="00D507EA" w:rsidRPr="00195ACE" w:rsidRDefault="00D507EA" w:rsidP="00D507EA">
      <w:pPr>
        <w:numPr>
          <w:ilvl w:val="0"/>
          <w:numId w:val="23"/>
        </w:numPr>
        <w:spacing w:before="100" w:beforeAutospacing="1" w:after="100" w:afterAutospacing="1"/>
        <w:rPr>
          <w:rFonts w:ascii="Tunga" w:hAnsi="Tunga" w:cs="Tunga"/>
          <w:color w:val="000000"/>
          <w:sz w:val="22"/>
          <w:szCs w:val="22"/>
          <w:lang/>
        </w:rPr>
      </w:pPr>
      <w:hyperlink r:id="rId76" w:tooltip="Governmental Accounting Standards Board" w:history="1">
        <w:r w:rsidRPr="00195ACE">
          <w:rPr>
            <w:rStyle w:val="Hyperlink"/>
            <w:rFonts w:ascii="Tunga" w:hAnsi="Tunga" w:cs="Tunga"/>
            <w:bCs/>
            <w:color w:val="000000"/>
            <w:sz w:val="22"/>
            <w:szCs w:val="22"/>
            <w:u w:val="none"/>
            <w:lang/>
          </w:rPr>
          <w:t>Governmental Accounting Standards Board</w:t>
        </w:r>
      </w:hyperlink>
      <w:r w:rsidRPr="00195ACE">
        <w:rPr>
          <w:rFonts w:ascii="Tunga" w:hAnsi="Tunga" w:cs="Tunga"/>
          <w:bCs/>
          <w:color w:val="000000"/>
          <w:sz w:val="22"/>
          <w:szCs w:val="22"/>
          <w:lang/>
        </w:rPr>
        <w:t xml:space="preserve"> (GASB)</w:t>
      </w:r>
      <w:r w:rsidRPr="00195ACE">
        <w:rPr>
          <w:rFonts w:ascii="Tunga" w:hAnsi="Tunga" w:cs="Tunga"/>
          <w:color w:val="000000"/>
          <w:sz w:val="22"/>
          <w:szCs w:val="22"/>
          <w:lang/>
        </w:rPr>
        <w:t xml:space="preserve"> </w:t>
      </w:r>
    </w:p>
    <w:p w:rsidR="00D507EA" w:rsidRPr="00195ACE" w:rsidRDefault="00D507EA" w:rsidP="00D507EA">
      <w:pPr>
        <w:rPr>
          <w:rFonts w:ascii="Tunga" w:hAnsi="Tunga" w:cs="Tunga"/>
          <w:color w:val="000000"/>
          <w:sz w:val="22"/>
          <w:szCs w:val="22"/>
          <w:lang/>
        </w:rPr>
      </w:pPr>
      <w:r w:rsidRPr="00195ACE">
        <w:rPr>
          <w:rFonts w:ascii="Tunga" w:hAnsi="Tunga" w:cs="Tunga"/>
          <w:color w:val="000000"/>
          <w:sz w:val="22"/>
          <w:szCs w:val="22"/>
          <w:lang/>
        </w:rPr>
        <w:t>Created in 1984, the GASB addresses state and local government reporting issues. Its structure is similar to that of the FASB's.</w:t>
      </w:r>
    </w:p>
    <w:p w:rsidR="00D507EA" w:rsidRPr="00195ACE" w:rsidRDefault="00D507EA" w:rsidP="00D507EA">
      <w:pPr>
        <w:numPr>
          <w:ilvl w:val="0"/>
          <w:numId w:val="24"/>
        </w:numPr>
        <w:spacing w:before="100" w:beforeAutospacing="1" w:after="100" w:afterAutospacing="1"/>
        <w:rPr>
          <w:rFonts w:ascii="Tunga" w:hAnsi="Tunga" w:cs="Tunga"/>
          <w:color w:val="000000"/>
          <w:sz w:val="22"/>
          <w:szCs w:val="22"/>
          <w:lang/>
        </w:rPr>
      </w:pPr>
      <w:r w:rsidRPr="00195ACE">
        <w:rPr>
          <w:rFonts w:ascii="Tunga" w:hAnsi="Tunga" w:cs="Tunga"/>
          <w:bCs/>
          <w:color w:val="000000"/>
          <w:sz w:val="22"/>
          <w:szCs w:val="22"/>
          <w:lang/>
        </w:rPr>
        <w:t>Other influential organizations</w:t>
      </w:r>
      <w:r w:rsidRPr="00195ACE">
        <w:rPr>
          <w:rFonts w:ascii="Tunga" w:hAnsi="Tunga" w:cs="Tunga"/>
          <w:color w:val="000000"/>
          <w:sz w:val="22"/>
          <w:szCs w:val="22"/>
          <w:lang/>
        </w:rPr>
        <w:t xml:space="preserve"> (e.g. American Accounting Association, Institute of Management Accountants, Financial Executives Institute) </w:t>
      </w:r>
    </w:p>
    <w:p w:rsidR="00D507EA" w:rsidRPr="00195ACE" w:rsidRDefault="00D507EA" w:rsidP="00D507EA">
      <w:pPr>
        <w:pStyle w:val="Heading2"/>
        <w:rPr>
          <w:b w:val="0"/>
          <w:color w:val="000000"/>
          <w:lang/>
        </w:rPr>
      </w:pPr>
      <w:bookmarkStart w:id="19" w:name="House_of_GAAP"/>
      <w:bookmarkEnd w:id="19"/>
      <w:r w:rsidRPr="00195ACE">
        <w:rPr>
          <w:rStyle w:val="mw-headline"/>
          <w:b w:val="0"/>
          <w:color w:val="000000"/>
          <w:lang/>
        </w:rPr>
        <w:t>House of GAAP</w:t>
      </w:r>
    </w:p>
    <w:tbl>
      <w:tblPr>
        <w:tblW w:w="5696" w:type="pct"/>
        <w:tblCellSpacing w:w="15" w:type="dxa"/>
        <w:tblCellMar>
          <w:top w:w="15" w:type="dxa"/>
          <w:left w:w="15" w:type="dxa"/>
          <w:bottom w:w="15" w:type="dxa"/>
          <w:right w:w="15" w:type="dxa"/>
        </w:tblCellMar>
        <w:tblLook w:val="0000"/>
      </w:tblPr>
      <w:tblGrid>
        <w:gridCol w:w="52"/>
        <w:gridCol w:w="1720"/>
        <w:gridCol w:w="2370"/>
        <w:gridCol w:w="1718"/>
        <w:gridCol w:w="867"/>
        <w:gridCol w:w="2765"/>
        <w:gridCol w:w="487"/>
      </w:tblGrid>
      <w:tr w:rsidR="002434B7" w:rsidRPr="00195ACE">
        <w:trPr>
          <w:gridAfter w:val="1"/>
          <w:wAfter w:w="210" w:type="pct"/>
          <w:tblCellSpacing w:w="15" w:type="dxa"/>
        </w:trPr>
        <w:tc>
          <w:tcPr>
            <w:tcW w:w="863" w:type="pct"/>
            <w:gridSpan w:val="2"/>
            <w:tcBorders>
              <w:top w:val="single" w:sz="6" w:space="0" w:color="000000"/>
              <w:left w:val="single" w:sz="6" w:space="0" w:color="000000"/>
              <w:bottom w:val="single" w:sz="6" w:space="0" w:color="000000"/>
              <w:right w:val="single" w:sz="6" w:space="0" w:color="000000"/>
            </w:tcBorders>
            <w:vAlign w:val="center"/>
          </w:tcPr>
          <w:p w:rsidR="002434B7" w:rsidRPr="00195ACE" w:rsidRDefault="002434B7">
            <w:pPr>
              <w:rPr>
                <w:color w:val="000000"/>
              </w:rPr>
            </w:pPr>
          </w:p>
        </w:tc>
        <w:tc>
          <w:tcPr>
            <w:tcW w:w="3867" w:type="pct"/>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bCs/>
                <w:color w:val="000000"/>
              </w:rPr>
            </w:pPr>
            <w:r w:rsidRPr="00195ACE">
              <w:rPr>
                <w:rFonts w:ascii="Tunga" w:hAnsi="Tunga" w:cs="Tunga"/>
                <w:bCs/>
                <w:color w:val="000000"/>
              </w:rPr>
              <w:t>House of GAAP</w:t>
            </w:r>
          </w:p>
        </w:tc>
      </w:tr>
      <w:tr w:rsidR="002434B7" w:rsidRPr="00195ACE">
        <w:trPr>
          <w:gridAfter w:val="1"/>
          <w:wAfter w:w="210" w:type="pct"/>
          <w:tblCellSpacing w:w="15" w:type="dxa"/>
        </w:trPr>
        <w:tc>
          <w:tcPr>
            <w:tcW w:w="863" w:type="pct"/>
            <w:gridSpan w:val="2"/>
            <w:tcBorders>
              <w:top w:val="single" w:sz="6" w:space="0" w:color="000000"/>
              <w:left w:val="single" w:sz="6" w:space="0" w:color="000000"/>
              <w:bottom w:val="single" w:sz="6" w:space="0" w:color="000000"/>
              <w:right w:val="single" w:sz="6" w:space="0" w:color="000000"/>
            </w:tcBorders>
            <w:vAlign w:val="center"/>
          </w:tcPr>
          <w:p w:rsidR="002434B7" w:rsidRPr="00195ACE" w:rsidRDefault="002434B7">
            <w:pPr>
              <w:rPr>
                <w:rFonts w:ascii="Tunga" w:hAnsi="Tunga" w:cs="Tunga"/>
                <w:color w:val="000000"/>
                <w:sz w:val="22"/>
                <w:szCs w:val="22"/>
              </w:rPr>
            </w:pPr>
            <w:r w:rsidRPr="00195ACE">
              <w:rPr>
                <w:rFonts w:ascii="Tunga" w:hAnsi="Tunga" w:cs="Tunga"/>
                <w:color w:val="000000"/>
                <w:sz w:val="22"/>
                <w:szCs w:val="22"/>
              </w:rPr>
              <w:t>Category (a)</w:t>
            </w:r>
            <w:r w:rsidRPr="00195ACE">
              <w:rPr>
                <w:rFonts w:ascii="Tunga" w:hAnsi="Tunga" w:cs="Tunga"/>
                <w:color w:val="000000"/>
                <w:sz w:val="22"/>
                <w:szCs w:val="22"/>
              </w:rPr>
              <w:br/>
              <w:t>(Most authoritative)</w:t>
            </w:r>
          </w:p>
        </w:tc>
        <w:tc>
          <w:tcPr>
            <w:tcW w:w="11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FASB Standards and Interpretations</w:t>
            </w:r>
          </w:p>
        </w:tc>
        <w:tc>
          <w:tcPr>
            <w:tcW w:w="128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Accounting Principles Board (APB) Opinions</w:t>
            </w:r>
          </w:p>
        </w:tc>
        <w:tc>
          <w:tcPr>
            <w:tcW w:w="1360"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AICPA Accounting Research Bulletins (ARBs)</w:t>
            </w:r>
          </w:p>
        </w:tc>
      </w:tr>
      <w:tr w:rsidR="002434B7" w:rsidRPr="00195ACE">
        <w:trPr>
          <w:gridAfter w:val="1"/>
          <w:wAfter w:w="210" w:type="pct"/>
          <w:trHeight w:val="775"/>
          <w:tblCellSpacing w:w="15" w:type="dxa"/>
        </w:trPr>
        <w:tc>
          <w:tcPr>
            <w:tcW w:w="863" w:type="pct"/>
            <w:gridSpan w:val="2"/>
            <w:tcBorders>
              <w:top w:val="single" w:sz="6" w:space="0" w:color="000000"/>
              <w:left w:val="single" w:sz="6" w:space="0" w:color="000000"/>
              <w:bottom w:val="single" w:sz="6" w:space="0" w:color="000000"/>
              <w:right w:val="single" w:sz="6" w:space="0" w:color="000000"/>
            </w:tcBorders>
            <w:vAlign w:val="center"/>
          </w:tcPr>
          <w:p w:rsidR="002434B7" w:rsidRPr="00195ACE" w:rsidRDefault="002434B7">
            <w:pPr>
              <w:rPr>
                <w:rFonts w:ascii="Tunga" w:hAnsi="Tunga" w:cs="Tunga"/>
                <w:color w:val="000000"/>
                <w:sz w:val="22"/>
                <w:szCs w:val="22"/>
              </w:rPr>
            </w:pPr>
            <w:r w:rsidRPr="00195ACE">
              <w:rPr>
                <w:rFonts w:ascii="Tunga" w:hAnsi="Tunga" w:cs="Tunga"/>
                <w:color w:val="000000"/>
                <w:sz w:val="22"/>
                <w:szCs w:val="22"/>
              </w:rPr>
              <w:t>Category (b)</w:t>
            </w:r>
          </w:p>
        </w:tc>
        <w:tc>
          <w:tcPr>
            <w:tcW w:w="11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FASB Technical Bulletins</w:t>
            </w:r>
          </w:p>
        </w:tc>
        <w:tc>
          <w:tcPr>
            <w:tcW w:w="128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AICPA Industry Audit and Accounting Guides</w:t>
            </w:r>
          </w:p>
        </w:tc>
        <w:tc>
          <w:tcPr>
            <w:tcW w:w="1360"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AICPA Statements of Position (SOPs)</w:t>
            </w:r>
          </w:p>
        </w:tc>
      </w:tr>
      <w:tr w:rsidR="002434B7" w:rsidRPr="00195ACE">
        <w:trPr>
          <w:gridAfter w:val="1"/>
          <w:wAfter w:w="210" w:type="pct"/>
          <w:tblCellSpacing w:w="15" w:type="dxa"/>
        </w:trPr>
        <w:tc>
          <w:tcPr>
            <w:tcW w:w="863" w:type="pct"/>
            <w:gridSpan w:val="2"/>
            <w:tcBorders>
              <w:top w:val="single" w:sz="6" w:space="0" w:color="000000"/>
              <w:left w:val="single" w:sz="6" w:space="0" w:color="000000"/>
              <w:bottom w:val="single" w:sz="6" w:space="0" w:color="000000"/>
              <w:right w:val="single" w:sz="6" w:space="0" w:color="000000"/>
            </w:tcBorders>
            <w:vAlign w:val="center"/>
          </w:tcPr>
          <w:p w:rsidR="002434B7" w:rsidRPr="00195ACE" w:rsidRDefault="002434B7">
            <w:pPr>
              <w:rPr>
                <w:rFonts w:ascii="Tunga" w:hAnsi="Tunga" w:cs="Tunga"/>
                <w:color w:val="000000"/>
                <w:sz w:val="22"/>
                <w:szCs w:val="22"/>
              </w:rPr>
            </w:pPr>
            <w:r w:rsidRPr="00195ACE">
              <w:rPr>
                <w:rFonts w:ascii="Tunga" w:hAnsi="Tunga" w:cs="Tunga"/>
                <w:color w:val="000000"/>
                <w:sz w:val="22"/>
                <w:szCs w:val="22"/>
              </w:rPr>
              <w:t>Category (c)</w:t>
            </w:r>
          </w:p>
        </w:tc>
        <w:tc>
          <w:tcPr>
            <w:tcW w:w="20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FASB Emerging Issues Task Force (EITF)</w:t>
            </w:r>
          </w:p>
        </w:tc>
        <w:tc>
          <w:tcPr>
            <w:tcW w:w="1801"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AICPA AcSEC Practice Bulletins</w:t>
            </w:r>
          </w:p>
        </w:tc>
      </w:tr>
      <w:tr w:rsidR="002434B7" w:rsidRPr="00195ACE">
        <w:trPr>
          <w:gridAfter w:val="1"/>
          <w:wAfter w:w="210" w:type="pct"/>
          <w:tblCellSpacing w:w="15" w:type="dxa"/>
        </w:trPr>
        <w:tc>
          <w:tcPr>
            <w:tcW w:w="863" w:type="pct"/>
            <w:gridSpan w:val="2"/>
            <w:tcBorders>
              <w:top w:val="single" w:sz="6" w:space="0" w:color="000000"/>
              <w:left w:val="single" w:sz="6" w:space="0" w:color="000000"/>
              <w:bottom w:val="single" w:sz="6" w:space="0" w:color="000000"/>
              <w:right w:val="single" w:sz="6" w:space="0" w:color="000000"/>
            </w:tcBorders>
            <w:vAlign w:val="center"/>
          </w:tcPr>
          <w:p w:rsidR="002434B7" w:rsidRPr="00195ACE" w:rsidRDefault="002434B7">
            <w:pPr>
              <w:rPr>
                <w:rFonts w:ascii="Tunga" w:hAnsi="Tunga" w:cs="Tunga"/>
                <w:color w:val="000000"/>
                <w:sz w:val="22"/>
                <w:szCs w:val="22"/>
              </w:rPr>
            </w:pPr>
            <w:r w:rsidRPr="00195ACE">
              <w:rPr>
                <w:rFonts w:ascii="Tunga" w:hAnsi="Tunga" w:cs="Tunga"/>
                <w:color w:val="000000"/>
                <w:sz w:val="22"/>
                <w:szCs w:val="22"/>
              </w:rPr>
              <w:t>Category (d)</w:t>
            </w:r>
            <w:r w:rsidRPr="00195ACE">
              <w:rPr>
                <w:rFonts w:ascii="Tunga" w:hAnsi="Tunga" w:cs="Tunga"/>
                <w:color w:val="000000"/>
                <w:sz w:val="22"/>
                <w:szCs w:val="22"/>
              </w:rPr>
              <w:br/>
              <w:t>(Least authoritative)</w:t>
            </w:r>
          </w:p>
        </w:tc>
        <w:tc>
          <w:tcPr>
            <w:tcW w:w="1191"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AICPA Accounting Interpretations</w:t>
            </w:r>
          </w:p>
        </w:tc>
        <w:tc>
          <w:tcPr>
            <w:tcW w:w="1285"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FASB Implementation Guides (Q and A)</w:t>
            </w:r>
          </w:p>
        </w:tc>
        <w:tc>
          <w:tcPr>
            <w:tcW w:w="1360"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34B7" w:rsidRPr="00195ACE" w:rsidRDefault="002434B7">
            <w:pPr>
              <w:jc w:val="center"/>
              <w:rPr>
                <w:rFonts w:ascii="Tunga" w:hAnsi="Tunga" w:cs="Tunga"/>
                <w:color w:val="000000"/>
                <w:sz w:val="22"/>
                <w:szCs w:val="22"/>
              </w:rPr>
            </w:pPr>
            <w:r w:rsidRPr="00195ACE">
              <w:rPr>
                <w:rFonts w:ascii="Tunga" w:hAnsi="Tunga" w:cs="Tunga"/>
                <w:color w:val="000000"/>
                <w:sz w:val="22"/>
                <w:szCs w:val="22"/>
              </w:rPr>
              <w:t>Widely recognized and prevalent industry practices</w:t>
            </w:r>
          </w:p>
        </w:tc>
      </w:tr>
      <w:tr w:rsidR="002A3C4E" w:rsidRPr="00195ACE">
        <w:trPr>
          <w:gridAfter w:val="1"/>
          <w:wAfter w:w="210" w:type="pct"/>
          <w:tblCellSpacing w:w="15" w:type="dxa"/>
        </w:trPr>
        <w:tc>
          <w:tcPr>
            <w:tcW w:w="863" w:type="pct"/>
            <w:gridSpan w:val="2"/>
            <w:tcBorders>
              <w:top w:val="single" w:sz="6" w:space="0" w:color="000000"/>
              <w:left w:val="single" w:sz="6" w:space="0" w:color="000000"/>
            </w:tcBorders>
            <w:vAlign w:val="center"/>
          </w:tcPr>
          <w:p w:rsidR="002A3C4E" w:rsidRPr="00195ACE" w:rsidRDefault="002A3C4E">
            <w:pPr>
              <w:rPr>
                <w:rFonts w:ascii="Tunga" w:hAnsi="Tunga" w:cs="Tunga"/>
                <w:color w:val="000000"/>
                <w:sz w:val="22"/>
                <w:szCs w:val="22"/>
              </w:rPr>
            </w:pPr>
          </w:p>
        </w:tc>
        <w:tc>
          <w:tcPr>
            <w:tcW w:w="1191" w:type="pct"/>
            <w:tcBorders>
              <w:top w:val="single" w:sz="6" w:space="0" w:color="000000"/>
            </w:tcBorders>
            <w:shd w:val="clear" w:color="auto" w:fill="auto"/>
            <w:vAlign w:val="center"/>
          </w:tcPr>
          <w:p w:rsidR="002A3C4E" w:rsidRPr="00195ACE" w:rsidRDefault="002A3C4E">
            <w:pPr>
              <w:jc w:val="center"/>
              <w:rPr>
                <w:rFonts w:ascii="Tunga" w:hAnsi="Tunga" w:cs="Tunga"/>
                <w:color w:val="000000"/>
                <w:sz w:val="22"/>
                <w:szCs w:val="22"/>
              </w:rPr>
            </w:pPr>
          </w:p>
        </w:tc>
        <w:tc>
          <w:tcPr>
            <w:tcW w:w="1285" w:type="pct"/>
            <w:gridSpan w:val="2"/>
            <w:tcBorders>
              <w:top w:val="single" w:sz="6" w:space="0" w:color="000000"/>
            </w:tcBorders>
            <w:shd w:val="clear" w:color="auto" w:fill="auto"/>
            <w:vAlign w:val="center"/>
          </w:tcPr>
          <w:p w:rsidR="002A3C4E" w:rsidRPr="00195ACE" w:rsidRDefault="002A3C4E">
            <w:pPr>
              <w:jc w:val="center"/>
              <w:rPr>
                <w:rFonts w:ascii="Tunga" w:hAnsi="Tunga" w:cs="Tunga"/>
                <w:color w:val="000000"/>
                <w:sz w:val="22"/>
                <w:szCs w:val="22"/>
              </w:rPr>
            </w:pPr>
          </w:p>
        </w:tc>
        <w:tc>
          <w:tcPr>
            <w:tcW w:w="1360" w:type="pct"/>
            <w:tcBorders>
              <w:top w:val="single" w:sz="6" w:space="0" w:color="000000"/>
              <w:right w:val="single" w:sz="6" w:space="0" w:color="000000"/>
            </w:tcBorders>
            <w:shd w:val="clear" w:color="auto" w:fill="auto"/>
            <w:vAlign w:val="center"/>
          </w:tcPr>
          <w:p w:rsidR="002A3C4E" w:rsidRPr="00195ACE" w:rsidRDefault="002A3C4E">
            <w:pPr>
              <w:jc w:val="center"/>
              <w:rPr>
                <w:rFonts w:ascii="Tunga" w:hAnsi="Tunga" w:cs="Tunga"/>
                <w:color w:val="000000"/>
                <w:sz w:val="22"/>
                <w:szCs w:val="22"/>
              </w:rPr>
            </w:pPr>
          </w:p>
        </w:tc>
      </w:tr>
      <w:tr w:rsidR="002434B7">
        <w:tblPrEx>
          <w:tblCellSpacing w:w="0" w:type="dxa"/>
          <w:tblCellMar>
            <w:top w:w="0" w:type="dxa"/>
            <w:left w:w="0" w:type="dxa"/>
            <w:bottom w:w="0" w:type="dxa"/>
            <w:right w:w="0" w:type="dxa"/>
          </w:tblCellMar>
        </w:tblPrEx>
        <w:trPr>
          <w:gridBefore w:val="1"/>
          <w:wBefore w:w="3" w:type="pct"/>
          <w:tblCellSpacing w:w="0" w:type="dxa"/>
        </w:trPr>
        <w:tc>
          <w:tcPr>
            <w:tcW w:w="4952" w:type="pct"/>
            <w:gridSpan w:val="6"/>
            <w:vAlign w:val="center"/>
          </w:tcPr>
          <w:tbl>
            <w:tblPr>
              <w:tblW w:w="9535" w:type="dxa"/>
              <w:tblCellSpacing w:w="0" w:type="dxa"/>
              <w:tblCellMar>
                <w:left w:w="0" w:type="dxa"/>
                <w:right w:w="0" w:type="dxa"/>
              </w:tblCellMar>
              <w:tblLook w:val="0000"/>
            </w:tblPr>
            <w:tblGrid>
              <w:gridCol w:w="20"/>
              <w:gridCol w:w="9335"/>
              <w:gridCol w:w="180"/>
            </w:tblGrid>
            <w:tr w:rsidR="002434B7">
              <w:trPr>
                <w:tblCellSpacing w:w="0" w:type="dxa"/>
              </w:trPr>
              <w:tc>
                <w:tcPr>
                  <w:tcW w:w="20" w:type="dxa"/>
                  <w:shd w:val="clear" w:color="auto" w:fill="003869"/>
                  <w:vAlign w:val="center"/>
                </w:tcPr>
                <w:p w:rsidR="002434B7" w:rsidRDefault="002434B7" w:rsidP="00C80CAF">
                  <w:pPr>
                    <w:rPr>
                      <w:rFonts w:ascii="Arial" w:hAnsi="Arial" w:cs="Arial"/>
                      <w:color w:val="000000"/>
                      <w:sz w:val="20"/>
                      <w:szCs w:val="20"/>
                    </w:rPr>
                  </w:pPr>
                  <w:r w:rsidRPr="00195ACE">
                    <w:rPr>
                      <w:lang/>
                    </w:rPr>
                    <w:t xml:space="preserve"> </w:t>
                  </w:r>
                </w:p>
              </w:tc>
              <w:tc>
                <w:tcPr>
                  <w:tcW w:w="9515" w:type="dxa"/>
                  <w:gridSpan w:val="2"/>
                  <w:shd w:val="clear" w:color="auto" w:fill="003869"/>
                  <w:vAlign w:val="center"/>
                </w:tcPr>
                <w:p w:rsidR="002434B7" w:rsidRDefault="002434B7" w:rsidP="00802FA4">
                  <w:pPr>
                    <w:ind w:firstLine="160"/>
                    <w:rPr>
                      <w:rFonts w:ascii="Arial" w:hAnsi="Arial" w:cs="Arial"/>
                      <w:color w:val="000000"/>
                      <w:sz w:val="20"/>
                      <w:szCs w:val="20"/>
                    </w:rPr>
                  </w:pPr>
                  <w:r>
                    <w:rPr>
                      <w:rStyle w:val="subtopic1"/>
                      <w:rFonts w:ascii="Arial" w:hAnsi="Arial" w:cs="Arial"/>
                    </w:rPr>
                    <w:t>Introduction to Basic Accounting Principles</w:t>
                  </w:r>
                  <w:r>
                    <w:rPr>
                      <w:rFonts w:ascii="Arial" w:hAnsi="Arial" w:cs="Arial"/>
                      <w:color w:val="000000"/>
                      <w:sz w:val="20"/>
                      <w:szCs w:val="20"/>
                    </w:rPr>
                    <w:t xml:space="preserve"> </w:t>
                  </w:r>
                </w:p>
              </w:tc>
            </w:tr>
            <w:tr w:rsidR="002434B7">
              <w:trPr>
                <w:tblCellSpacing w:w="0" w:type="dxa"/>
              </w:trPr>
              <w:tc>
                <w:tcPr>
                  <w:tcW w:w="20" w:type="dxa"/>
                  <w:vAlign w:val="center"/>
                </w:tcPr>
                <w:p w:rsidR="002434B7" w:rsidRDefault="002434B7">
                  <w:pPr>
                    <w:rPr>
                      <w:rFonts w:ascii="Arial" w:hAnsi="Arial" w:cs="Arial"/>
                      <w:color w:val="000000"/>
                      <w:sz w:val="20"/>
                      <w:szCs w:val="20"/>
                    </w:rPr>
                  </w:pPr>
                </w:p>
              </w:tc>
              <w:tc>
                <w:tcPr>
                  <w:tcW w:w="9335" w:type="dxa"/>
                  <w:vAlign w:val="center"/>
                </w:tcPr>
                <w:p w:rsidR="002434B7" w:rsidRDefault="002434B7" w:rsidP="00547A2E">
                  <w:pPr>
                    <w:spacing w:after="240"/>
                    <w:ind w:left="183" w:right="421"/>
                    <w:rPr>
                      <w:rFonts w:ascii="Arial" w:hAnsi="Arial" w:cs="Arial"/>
                      <w:color w:val="000000"/>
                      <w:sz w:val="20"/>
                      <w:szCs w:val="20"/>
                    </w:rPr>
                  </w:pPr>
                  <w:r>
                    <w:rPr>
                      <w:rFonts w:ascii="Arial" w:hAnsi="Arial" w:cs="Arial"/>
                      <w:color w:val="000000"/>
                      <w:sz w:val="20"/>
                      <w:szCs w:val="20"/>
                    </w:rPr>
                    <w:br/>
                    <w:t xml:space="preserve">There are general rules and concepts that govern the field of accounting. These general rules—referred to as basic accounting </w:t>
                  </w:r>
                  <w:r>
                    <w:rPr>
                      <w:rFonts w:ascii="Arial" w:hAnsi="Arial" w:cs="Arial"/>
                      <w:b/>
                      <w:bCs/>
                      <w:color w:val="000000"/>
                      <w:sz w:val="20"/>
                      <w:szCs w:val="20"/>
                    </w:rPr>
                    <w:t>principles and guidelines</w:t>
                  </w:r>
                  <w:r>
                    <w:rPr>
                      <w:rFonts w:ascii="Arial" w:hAnsi="Arial" w:cs="Arial"/>
                      <w:color w:val="000000"/>
                      <w:sz w:val="20"/>
                      <w:szCs w:val="20"/>
                    </w:rPr>
                    <w:t xml:space="preserve">—form the groundwork on which more detailed, complicated, and legalistic accounting rules are based. For example, </w:t>
                  </w:r>
                  <w:r w:rsidRPr="00547A2E">
                    <w:rPr>
                      <w:rFonts w:ascii="Arial" w:hAnsi="Arial" w:cs="Arial"/>
                      <w:color w:val="000000"/>
                      <w:sz w:val="20"/>
                      <w:szCs w:val="20"/>
                    </w:rPr>
                    <w:t xml:space="preserve">the </w:t>
                  </w:r>
                  <w:hyperlink r:id="rId77" w:anchor="financial accounting standards board" w:history="1">
                    <w:r w:rsidRPr="00547A2E">
                      <w:rPr>
                        <w:rStyle w:val="Hyperlink"/>
                        <w:rFonts w:ascii="Arial" w:hAnsi="Arial" w:cs="Arial"/>
                        <w:b/>
                        <w:bCs/>
                        <w:color w:val="000000"/>
                        <w:sz w:val="20"/>
                        <w:szCs w:val="20"/>
                        <w:u w:val="none"/>
                      </w:rPr>
                      <w:t>Financial Accounting Standards Board (FASB)</w:t>
                    </w:r>
                  </w:hyperlink>
                  <w:r w:rsidRPr="00547A2E">
                    <w:rPr>
                      <w:rFonts w:ascii="Arial" w:hAnsi="Arial" w:cs="Arial"/>
                      <w:color w:val="000000"/>
                      <w:sz w:val="20"/>
                      <w:szCs w:val="20"/>
                    </w:rPr>
                    <w:t xml:space="preserve"> uses the basic accounting principles and guidelines as a basis for their own detailed and comprehensive set of accounting rules and standards. </w:t>
                  </w:r>
                  <w:r w:rsidRPr="00547A2E">
                    <w:rPr>
                      <w:rFonts w:ascii="Arial" w:hAnsi="Arial" w:cs="Arial"/>
                      <w:color w:val="000000"/>
                      <w:sz w:val="20"/>
                      <w:szCs w:val="20"/>
                    </w:rPr>
                    <w:br/>
                  </w:r>
                  <w:r w:rsidRPr="00547A2E">
                    <w:rPr>
                      <w:rFonts w:ascii="Arial" w:hAnsi="Arial" w:cs="Arial"/>
                      <w:color w:val="000000"/>
                      <w:sz w:val="20"/>
                      <w:szCs w:val="20"/>
                    </w:rPr>
                    <w:br/>
                    <w:t>The phrase "</w:t>
                  </w:r>
                  <w:hyperlink r:id="rId78" w:anchor="generally accepted accounting principles (GAAP)" w:history="1">
                    <w:r w:rsidRPr="00547A2E">
                      <w:rPr>
                        <w:rStyle w:val="Hyperlink"/>
                        <w:rFonts w:ascii="Arial" w:hAnsi="Arial" w:cs="Arial"/>
                        <w:b/>
                        <w:bCs/>
                        <w:color w:val="000000"/>
                        <w:sz w:val="20"/>
                        <w:szCs w:val="20"/>
                        <w:u w:val="none"/>
                      </w:rPr>
                      <w:t>generally accepted accounting principles</w:t>
                    </w:r>
                  </w:hyperlink>
                  <w:r>
                    <w:rPr>
                      <w:rFonts w:ascii="Arial" w:hAnsi="Arial" w:cs="Arial"/>
                      <w:color w:val="000000"/>
                      <w:sz w:val="20"/>
                      <w:szCs w:val="20"/>
                    </w:rPr>
                    <w:t xml:space="preserve">" (or "GAAP") consists of three important sets of rules: (1) the basic accounting principles and guidelines, (2) the detailed rules and standards issued by FASB and its predecessor the Accounting Principles Board (APB), and (3) the generally accepted industry practices. </w:t>
                  </w:r>
                  <w:r>
                    <w:rPr>
                      <w:rFonts w:ascii="Arial" w:hAnsi="Arial" w:cs="Arial"/>
                      <w:color w:val="000000"/>
                      <w:sz w:val="20"/>
                      <w:szCs w:val="20"/>
                    </w:rPr>
                    <w:br/>
                  </w:r>
                  <w:r>
                    <w:rPr>
                      <w:rFonts w:ascii="Arial" w:hAnsi="Arial" w:cs="Arial"/>
                      <w:color w:val="000000"/>
                      <w:sz w:val="20"/>
                      <w:szCs w:val="20"/>
                    </w:rPr>
                    <w:br/>
                    <w:t xml:space="preserve">If a company distributes its financial statements to the public, it is required to follow generally accepted accounting principles in the preparation of those statements. Further, if a company's stock is publicly traded, federal law requires the company's financial statements be audited by independent public accountants. Both the company's management and the independent accountants must certify that the financial statements and the related notes to the financial statements have been prepared in accordance with GAAP. </w:t>
                  </w:r>
                  <w:r>
                    <w:rPr>
                      <w:rFonts w:ascii="Arial" w:hAnsi="Arial" w:cs="Arial"/>
                      <w:color w:val="000000"/>
                      <w:sz w:val="20"/>
                      <w:szCs w:val="20"/>
                    </w:rPr>
                    <w:br/>
                  </w:r>
                  <w:r>
                    <w:rPr>
                      <w:rFonts w:ascii="Arial" w:hAnsi="Arial" w:cs="Arial"/>
                      <w:color w:val="000000"/>
                      <w:sz w:val="20"/>
                      <w:szCs w:val="20"/>
                    </w:rPr>
                    <w:br/>
                    <w:t xml:space="preserve">GAAP is exceedingly useful because it attempts to standardize and regulate accounting definitions, assumptions, and methods. Because of generally accepted accounting principles we are able to assume that there is consistency from year to year in the methods used to prepare a company's financial statements. And although variations may exist, we can make reasonably confident conclusions when comparing one company to another, or comparing one company's financial statistics to the statistics for its industry. Over the years the generally accepted </w:t>
                  </w:r>
                  <w:r>
                    <w:rPr>
                      <w:rFonts w:ascii="Arial" w:hAnsi="Arial" w:cs="Arial"/>
                      <w:color w:val="000000"/>
                      <w:sz w:val="20"/>
                      <w:szCs w:val="20"/>
                    </w:rPr>
                    <w:lastRenderedPageBreak/>
                    <w:t xml:space="preserve">accounting principles have become more complex because financial transactions have become more complex. </w:t>
                  </w:r>
                </w:p>
                <w:p w:rsidR="002434B7" w:rsidRDefault="002434B7" w:rsidP="00547A2E">
                  <w:pPr>
                    <w:spacing w:after="240"/>
                    <w:ind w:left="183" w:right="421"/>
                    <w:rPr>
                      <w:rFonts w:ascii="Arial" w:hAnsi="Arial" w:cs="Arial"/>
                      <w:color w:val="000000"/>
                      <w:sz w:val="20"/>
                      <w:szCs w:val="20"/>
                    </w:rPr>
                  </w:pPr>
                  <w:r>
                    <w:rPr>
                      <w:rFonts w:ascii="Arial" w:hAnsi="Arial" w:cs="Arial"/>
                      <w:color w:val="000000"/>
                      <w:sz w:val="20"/>
                      <w:szCs w:val="20"/>
                    </w:rPr>
                    <w:pict/>
                  </w:r>
                  <w:r>
                    <w:rPr>
                      <w:rFonts w:ascii="Arial" w:hAnsi="Arial" w:cs="Arial"/>
                      <w:color w:val="000000"/>
                      <w:sz w:val="20"/>
                      <w:szCs w:val="20"/>
                    </w:rPr>
                    <w:pict/>
                  </w:r>
                  <w:bookmarkStart w:id="20" w:name="accounting-principles-pri"/>
                  <w:bookmarkEnd w:id="20"/>
                </w:p>
              </w:tc>
              <w:tc>
                <w:tcPr>
                  <w:tcW w:w="180" w:type="dxa"/>
                  <w:vAlign w:val="center"/>
                </w:tcPr>
                <w:p w:rsidR="002434B7" w:rsidRDefault="002434B7">
                  <w:pPr>
                    <w:rPr>
                      <w:rFonts w:ascii="Arial" w:hAnsi="Arial" w:cs="Arial"/>
                      <w:color w:val="000000"/>
                      <w:sz w:val="20"/>
                      <w:szCs w:val="20"/>
                    </w:rPr>
                  </w:pPr>
                </w:p>
              </w:tc>
            </w:tr>
            <w:tr w:rsidR="002434B7">
              <w:trPr>
                <w:tblCellSpacing w:w="0" w:type="dxa"/>
              </w:trPr>
              <w:tc>
                <w:tcPr>
                  <w:tcW w:w="20" w:type="dxa"/>
                  <w:shd w:val="clear" w:color="auto" w:fill="003869"/>
                  <w:vAlign w:val="center"/>
                </w:tcPr>
                <w:p w:rsidR="002434B7" w:rsidRDefault="002434B7">
                  <w:pPr>
                    <w:rPr>
                      <w:rFonts w:ascii="Arial" w:hAnsi="Arial" w:cs="Arial"/>
                      <w:color w:val="000000"/>
                      <w:sz w:val="20"/>
                      <w:szCs w:val="20"/>
                    </w:rPr>
                  </w:pPr>
                </w:p>
              </w:tc>
              <w:tc>
                <w:tcPr>
                  <w:tcW w:w="9515" w:type="dxa"/>
                  <w:gridSpan w:val="2"/>
                  <w:shd w:val="clear" w:color="auto" w:fill="003869"/>
                  <w:vAlign w:val="center"/>
                </w:tcPr>
                <w:p w:rsidR="002434B7" w:rsidRDefault="002434B7" w:rsidP="00802FA4">
                  <w:pPr>
                    <w:ind w:firstLine="160"/>
                    <w:rPr>
                      <w:rFonts w:ascii="Arial" w:hAnsi="Arial" w:cs="Arial"/>
                      <w:color w:val="000000"/>
                      <w:sz w:val="20"/>
                      <w:szCs w:val="20"/>
                    </w:rPr>
                  </w:pPr>
                  <w:r>
                    <w:rPr>
                      <w:rStyle w:val="subtopic1"/>
                      <w:rFonts w:ascii="Arial" w:hAnsi="Arial" w:cs="Arial"/>
                    </w:rPr>
                    <w:t>Basic Accounting Principles and Guidelines</w:t>
                  </w:r>
                  <w:r>
                    <w:rPr>
                      <w:rFonts w:ascii="Arial" w:hAnsi="Arial" w:cs="Arial"/>
                      <w:color w:val="000000"/>
                      <w:sz w:val="20"/>
                      <w:szCs w:val="20"/>
                    </w:rPr>
                    <w:t xml:space="preserve"> </w:t>
                  </w:r>
                </w:p>
              </w:tc>
            </w:tr>
            <w:tr w:rsidR="002434B7">
              <w:trPr>
                <w:tblCellSpacing w:w="0" w:type="dxa"/>
              </w:trPr>
              <w:tc>
                <w:tcPr>
                  <w:tcW w:w="20" w:type="dxa"/>
                  <w:vAlign w:val="center"/>
                </w:tcPr>
                <w:p w:rsidR="002434B7" w:rsidRDefault="002434B7">
                  <w:pPr>
                    <w:rPr>
                      <w:rFonts w:ascii="Arial" w:hAnsi="Arial" w:cs="Arial"/>
                      <w:color w:val="000000"/>
                      <w:sz w:val="20"/>
                      <w:szCs w:val="20"/>
                    </w:rPr>
                  </w:pPr>
                </w:p>
              </w:tc>
              <w:tc>
                <w:tcPr>
                  <w:tcW w:w="9335" w:type="dxa"/>
                  <w:vAlign w:val="center"/>
                </w:tcPr>
                <w:p w:rsidR="002434B7" w:rsidRDefault="002434B7" w:rsidP="00802FA4">
                  <w:pPr>
                    <w:spacing w:after="240"/>
                    <w:ind w:left="160" w:right="421"/>
                    <w:rPr>
                      <w:rFonts w:ascii="Arial" w:hAnsi="Arial" w:cs="Arial"/>
                      <w:color w:val="000000"/>
                      <w:sz w:val="20"/>
                      <w:szCs w:val="20"/>
                    </w:rPr>
                  </w:pPr>
                  <w:r>
                    <w:rPr>
                      <w:rFonts w:ascii="Arial" w:hAnsi="Arial" w:cs="Arial"/>
                      <w:color w:val="000000"/>
                      <w:sz w:val="20"/>
                      <w:szCs w:val="20"/>
                    </w:rPr>
                    <w:br/>
                    <w:t xml:space="preserve">Since GAAP is founded on the basic accounting principles and guidelines, we can better understand GAAP if we understand those accounting principles. The table below lists the ten main accounting principles and guidelines together with a highly condensed explanation of each. </w:t>
                  </w:r>
                </w:p>
                <w:tbl>
                  <w:tblPr>
                    <w:tblW w:w="0" w:type="auto"/>
                    <w:tblCellSpacing w:w="0" w:type="dxa"/>
                    <w:tblBorders>
                      <w:top w:val="single" w:sz="6" w:space="0" w:color="000000"/>
                      <w:left w:val="single" w:sz="6" w:space="0" w:color="000000"/>
                    </w:tblBorders>
                    <w:tblCellMar>
                      <w:top w:w="15" w:type="dxa"/>
                      <w:left w:w="15" w:type="dxa"/>
                      <w:bottom w:w="15" w:type="dxa"/>
                      <w:right w:w="15" w:type="dxa"/>
                    </w:tblCellMar>
                    <w:tblLook w:val="0000"/>
                  </w:tblPr>
                  <w:tblGrid>
                    <w:gridCol w:w="1790"/>
                    <w:gridCol w:w="7529"/>
                  </w:tblGrid>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pPr>
                          <w:jc w:val="center"/>
                          <w:rPr>
                            <w:rFonts w:ascii="Arial" w:hAnsi="Arial" w:cs="Arial"/>
                            <w:b/>
                            <w:bCs/>
                            <w:color w:val="000000"/>
                            <w:sz w:val="20"/>
                            <w:szCs w:val="20"/>
                          </w:rPr>
                        </w:pPr>
                        <w:r>
                          <w:rPr>
                            <w:rFonts w:ascii="Arial" w:hAnsi="Arial" w:cs="Arial"/>
                            <w:b/>
                            <w:bCs/>
                            <w:color w:val="000000"/>
                            <w:sz w:val="20"/>
                            <w:szCs w:val="20"/>
                          </w:rPr>
                          <w:t>Basic Accounting Principle</w:t>
                        </w:r>
                      </w:p>
                    </w:tc>
                    <w:tc>
                      <w:tcPr>
                        <w:tcW w:w="7529"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547A2E">
                        <w:pPr>
                          <w:ind w:right="68"/>
                          <w:jc w:val="center"/>
                          <w:rPr>
                            <w:rFonts w:ascii="Arial" w:hAnsi="Arial" w:cs="Arial"/>
                            <w:b/>
                            <w:bCs/>
                            <w:color w:val="000000"/>
                            <w:sz w:val="20"/>
                            <w:szCs w:val="20"/>
                          </w:rPr>
                        </w:pPr>
                        <w:r>
                          <w:rPr>
                            <w:rFonts w:ascii="Arial" w:hAnsi="Arial" w:cs="Arial"/>
                            <w:b/>
                            <w:bCs/>
                            <w:color w:val="000000"/>
                            <w:sz w:val="20"/>
                            <w:szCs w:val="20"/>
                          </w:rPr>
                          <w:t>What It Means in Relationship to a Financial Statement</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1. Economic Entity Assumption</w:t>
                        </w:r>
                        <w:r w:rsidR="005E25DA">
                          <w:rPr>
                            <w:rFonts w:ascii="Arial" w:hAnsi="Arial" w:cs="Arial"/>
                            <w:b/>
                            <w:bCs/>
                            <w:color w:val="000000"/>
                            <w:sz w:val="20"/>
                            <w:szCs w:val="20"/>
                          </w:rPr>
                          <w:t xml:space="preserve"> /</w:t>
                        </w:r>
                      </w:p>
                      <w:p w:rsidR="005E25DA" w:rsidRDefault="005E25DA">
                        <w:pPr>
                          <w:rPr>
                            <w:rFonts w:ascii="Arial" w:hAnsi="Arial" w:cs="Arial"/>
                            <w:b/>
                            <w:bCs/>
                            <w:color w:val="000000"/>
                            <w:sz w:val="20"/>
                            <w:szCs w:val="20"/>
                          </w:rPr>
                        </w:pPr>
                        <w:r>
                          <w:rPr>
                            <w:rFonts w:ascii="Arial" w:hAnsi="Arial" w:cs="Arial"/>
                            <w:b/>
                            <w:bCs/>
                            <w:color w:val="000000"/>
                            <w:sz w:val="20"/>
                            <w:szCs w:val="20"/>
                          </w:rPr>
                          <w:t>(Economic) Substance Over (Legal) Form</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547A2E">
                        <w:pPr>
                          <w:ind w:right="68"/>
                          <w:rPr>
                            <w:rFonts w:ascii="Arial" w:hAnsi="Arial" w:cs="Arial"/>
                            <w:color w:val="000000"/>
                            <w:sz w:val="20"/>
                            <w:szCs w:val="20"/>
                          </w:rPr>
                        </w:pPr>
                        <w:r>
                          <w:rPr>
                            <w:rFonts w:ascii="Arial" w:hAnsi="Arial" w:cs="Arial"/>
                            <w:color w:val="000000"/>
                            <w:sz w:val="20"/>
                            <w:szCs w:val="20"/>
                          </w:rPr>
                          <w:t xml:space="preserve">The accountant keeps all of the </w:t>
                        </w:r>
                        <w:r>
                          <w:rPr>
                            <w:rFonts w:ascii="Arial" w:hAnsi="Arial" w:cs="Arial"/>
                            <w:i/>
                            <w:iCs/>
                            <w:color w:val="000000"/>
                            <w:sz w:val="20"/>
                            <w:szCs w:val="20"/>
                          </w:rPr>
                          <w:t>business</w:t>
                        </w:r>
                        <w:r>
                          <w:rPr>
                            <w:rFonts w:ascii="Arial" w:hAnsi="Arial" w:cs="Arial"/>
                            <w:color w:val="000000"/>
                            <w:sz w:val="20"/>
                            <w:szCs w:val="20"/>
                          </w:rPr>
                          <w:t xml:space="preserve"> transactions of a sole proprietorship separate from the business owner's </w:t>
                        </w:r>
                        <w:r>
                          <w:rPr>
                            <w:rFonts w:ascii="Arial" w:hAnsi="Arial" w:cs="Arial"/>
                            <w:i/>
                            <w:iCs/>
                            <w:color w:val="000000"/>
                            <w:sz w:val="20"/>
                            <w:szCs w:val="20"/>
                          </w:rPr>
                          <w:t>personal</w:t>
                        </w:r>
                        <w:r>
                          <w:rPr>
                            <w:rFonts w:ascii="Arial" w:hAnsi="Arial" w:cs="Arial"/>
                            <w:color w:val="000000"/>
                            <w:sz w:val="20"/>
                            <w:szCs w:val="20"/>
                          </w:rPr>
                          <w:t xml:space="preserve"> transactions. For </w:t>
                        </w:r>
                        <w:r>
                          <w:rPr>
                            <w:rFonts w:ascii="Arial" w:hAnsi="Arial" w:cs="Arial"/>
                            <w:i/>
                            <w:iCs/>
                            <w:color w:val="000000"/>
                            <w:sz w:val="20"/>
                            <w:szCs w:val="20"/>
                          </w:rPr>
                          <w:t>legal</w:t>
                        </w:r>
                        <w:r>
                          <w:rPr>
                            <w:rFonts w:ascii="Arial" w:hAnsi="Arial" w:cs="Arial"/>
                            <w:color w:val="000000"/>
                            <w:sz w:val="20"/>
                            <w:szCs w:val="20"/>
                          </w:rPr>
                          <w:t xml:space="preserve"> purposes, a sole proprietorship and its owner are considered to be one entity, but for accounting purposes they are considered to be two separate entities.</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2. Monetary Unit Assumption</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547A2E">
                        <w:pPr>
                          <w:tabs>
                            <w:tab w:val="left" w:pos="6503"/>
                          </w:tabs>
                          <w:ind w:right="248"/>
                          <w:rPr>
                            <w:rFonts w:ascii="Arial" w:hAnsi="Arial" w:cs="Arial"/>
                            <w:color w:val="000000"/>
                            <w:sz w:val="20"/>
                            <w:szCs w:val="20"/>
                          </w:rPr>
                        </w:pPr>
                        <w:r>
                          <w:rPr>
                            <w:rFonts w:ascii="Arial" w:hAnsi="Arial" w:cs="Arial"/>
                            <w:color w:val="000000"/>
                            <w:sz w:val="20"/>
                            <w:szCs w:val="20"/>
                          </w:rPr>
                          <w:t>Economic activity is measured in U.S. dollars, and only transactions that can be expresse</w:t>
                        </w:r>
                        <w:r w:rsidR="005E25DA">
                          <w:rPr>
                            <w:rFonts w:ascii="Arial" w:hAnsi="Arial" w:cs="Arial"/>
                            <w:color w:val="000000"/>
                            <w:sz w:val="20"/>
                            <w:szCs w:val="20"/>
                          </w:rPr>
                          <w:t xml:space="preserve">d in U.S. dollars are recorded (Economic activity is measured in Indonesia Rupiah / IDR, and only transactions that can be expressed in </w:t>
                        </w:r>
                        <w:r w:rsidR="00BA2BF4">
                          <w:rPr>
                            <w:rFonts w:ascii="Arial" w:hAnsi="Arial" w:cs="Arial"/>
                            <w:color w:val="000000"/>
                            <w:sz w:val="20"/>
                            <w:szCs w:val="20"/>
                          </w:rPr>
                          <w:t xml:space="preserve">Indonesia Rupiah / IDR </w:t>
                        </w:r>
                        <w:r w:rsidR="005E25DA">
                          <w:rPr>
                            <w:rFonts w:ascii="Arial" w:hAnsi="Arial" w:cs="Arial"/>
                            <w:color w:val="000000"/>
                            <w:sz w:val="20"/>
                            <w:szCs w:val="20"/>
                          </w:rPr>
                          <w:t>are recorded)</w:t>
                        </w:r>
                        <w:r>
                          <w:rPr>
                            <w:rFonts w:ascii="Arial" w:hAnsi="Arial" w:cs="Arial"/>
                            <w:color w:val="000000"/>
                            <w:sz w:val="20"/>
                            <w:szCs w:val="20"/>
                          </w:rPr>
                          <w:br/>
                        </w:r>
                        <w:r>
                          <w:rPr>
                            <w:rFonts w:ascii="Arial" w:hAnsi="Arial" w:cs="Arial"/>
                            <w:color w:val="000000"/>
                            <w:sz w:val="20"/>
                            <w:szCs w:val="20"/>
                          </w:rPr>
                          <w:br/>
                          <w:t>Because of this basic accounting principle, it is assumed that the dollar's purchasing power has not changed over time. As a result accountants ignore the effect of inflation on recorded amounts. For example, dollars from a 1960 transaction are combined (or shown with) dollars from a 2006 transaction.</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3. Time Period Assumption</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547A2E">
                        <w:pPr>
                          <w:ind w:right="248"/>
                          <w:rPr>
                            <w:rFonts w:ascii="Arial" w:hAnsi="Arial" w:cs="Arial"/>
                            <w:color w:val="000000"/>
                            <w:sz w:val="20"/>
                            <w:szCs w:val="20"/>
                          </w:rPr>
                        </w:pPr>
                        <w:r>
                          <w:rPr>
                            <w:rFonts w:ascii="Arial" w:hAnsi="Arial" w:cs="Arial"/>
                            <w:color w:val="000000"/>
                            <w:sz w:val="20"/>
                            <w:szCs w:val="20"/>
                          </w:rPr>
                          <w:t xml:space="preserve">This accounting principle assumes that it is possible to report the complex and ongoing activities of a business in relatively short, distinct time intervals such as the five months ended May 31, 2006, or the 5 weeks ended May 1, 2006. The shorter the time interval, the more likely the need for the accountant to estimate amounts relevant to that period. For example, the property tax bill is received on December 15 of each year. On the income statement for the year ended December 31, 2006, the amount is known; but for the income statement for the three months ended March 31, 2006, the amount was not known and an estimate had to be used. </w:t>
                        </w:r>
                        <w:r>
                          <w:rPr>
                            <w:rFonts w:ascii="Arial" w:hAnsi="Arial" w:cs="Arial"/>
                            <w:color w:val="000000"/>
                            <w:sz w:val="20"/>
                            <w:szCs w:val="20"/>
                          </w:rPr>
                          <w:br/>
                        </w:r>
                        <w:r>
                          <w:rPr>
                            <w:rFonts w:ascii="Arial" w:hAnsi="Arial" w:cs="Arial"/>
                            <w:color w:val="000000"/>
                            <w:sz w:val="20"/>
                            <w:szCs w:val="20"/>
                          </w:rPr>
                          <w:br/>
                          <w:t xml:space="preserve">It is </w:t>
                        </w:r>
                        <w:r>
                          <w:rPr>
                            <w:rFonts w:ascii="Arial" w:hAnsi="Arial" w:cs="Arial"/>
                            <w:i/>
                            <w:iCs/>
                            <w:color w:val="000000"/>
                            <w:sz w:val="20"/>
                            <w:szCs w:val="20"/>
                          </w:rPr>
                          <w:t>imperative</w:t>
                        </w:r>
                        <w:r>
                          <w:rPr>
                            <w:rFonts w:ascii="Arial" w:hAnsi="Arial" w:cs="Arial"/>
                            <w:color w:val="000000"/>
                            <w:sz w:val="20"/>
                            <w:szCs w:val="20"/>
                          </w:rPr>
                          <w:t xml:space="preserve"> that the time interval (or period of time) be shown in the heading of each income statement, statement of stockholders' equity, and statement of cash flows. Labeling one of these </w:t>
                        </w:r>
                        <w:hyperlink r:id="rId79" w:anchor="financial statements" w:history="1">
                          <w:r w:rsidRPr="006D6DAF">
                            <w:rPr>
                              <w:rStyle w:val="Hyperlink"/>
                              <w:rFonts w:ascii="Arial" w:hAnsi="Arial" w:cs="Arial"/>
                              <w:b/>
                              <w:bCs/>
                              <w:color w:val="000000"/>
                              <w:sz w:val="20"/>
                              <w:szCs w:val="20"/>
                              <w:u w:val="none"/>
                            </w:rPr>
                            <w:t>financial statements</w:t>
                          </w:r>
                        </w:hyperlink>
                        <w:r w:rsidRPr="006D6DAF">
                          <w:rPr>
                            <w:rFonts w:ascii="Arial" w:hAnsi="Arial" w:cs="Arial"/>
                            <w:color w:val="000000"/>
                            <w:sz w:val="20"/>
                            <w:szCs w:val="20"/>
                          </w:rPr>
                          <w:t xml:space="preserve"> with</w:t>
                        </w:r>
                        <w:r>
                          <w:rPr>
                            <w:rFonts w:ascii="Arial" w:hAnsi="Arial" w:cs="Arial"/>
                            <w:color w:val="000000"/>
                            <w:sz w:val="20"/>
                            <w:szCs w:val="20"/>
                          </w:rPr>
                          <w:t xml:space="preserve"> "December 31" is not good enough--the reader needs to know if the statement covers the </w:t>
                        </w:r>
                        <w:r>
                          <w:rPr>
                            <w:rFonts w:ascii="Arial" w:hAnsi="Arial" w:cs="Arial"/>
                            <w:i/>
                            <w:iCs/>
                            <w:color w:val="000000"/>
                            <w:sz w:val="20"/>
                            <w:szCs w:val="20"/>
                          </w:rPr>
                          <w:t>one week</w:t>
                        </w:r>
                        <w:r>
                          <w:rPr>
                            <w:rFonts w:ascii="Arial" w:hAnsi="Arial" w:cs="Arial"/>
                            <w:color w:val="000000"/>
                            <w:sz w:val="20"/>
                            <w:szCs w:val="20"/>
                          </w:rPr>
                          <w:t xml:space="preserve"> ending December 31, 2006 the </w:t>
                        </w:r>
                        <w:r>
                          <w:rPr>
                            <w:rFonts w:ascii="Arial" w:hAnsi="Arial" w:cs="Arial"/>
                            <w:i/>
                            <w:iCs/>
                            <w:color w:val="000000"/>
                            <w:sz w:val="20"/>
                            <w:szCs w:val="20"/>
                          </w:rPr>
                          <w:t>month</w:t>
                        </w:r>
                        <w:r>
                          <w:rPr>
                            <w:rFonts w:ascii="Arial" w:hAnsi="Arial" w:cs="Arial"/>
                            <w:color w:val="000000"/>
                            <w:sz w:val="20"/>
                            <w:szCs w:val="20"/>
                          </w:rPr>
                          <w:t xml:space="preserve"> ending December 31, 2006 the </w:t>
                        </w:r>
                        <w:r>
                          <w:rPr>
                            <w:rFonts w:ascii="Arial" w:hAnsi="Arial" w:cs="Arial"/>
                            <w:i/>
                            <w:iCs/>
                            <w:color w:val="000000"/>
                            <w:sz w:val="20"/>
                            <w:szCs w:val="20"/>
                          </w:rPr>
                          <w:t>three months</w:t>
                        </w:r>
                        <w:r>
                          <w:rPr>
                            <w:rFonts w:ascii="Arial" w:hAnsi="Arial" w:cs="Arial"/>
                            <w:color w:val="000000"/>
                            <w:sz w:val="20"/>
                            <w:szCs w:val="20"/>
                          </w:rPr>
                          <w:t xml:space="preserve"> ending December 31, 2006 or the </w:t>
                        </w:r>
                        <w:r>
                          <w:rPr>
                            <w:rFonts w:ascii="Arial" w:hAnsi="Arial" w:cs="Arial"/>
                            <w:i/>
                            <w:iCs/>
                            <w:color w:val="000000"/>
                            <w:sz w:val="20"/>
                            <w:szCs w:val="20"/>
                          </w:rPr>
                          <w:t>year ended</w:t>
                        </w:r>
                        <w:r>
                          <w:rPr>
                            <w:rFonts w:ascii="Arial" w:hAnsi="Arial" w:cs="Arial"/>
                            <w:color w:val="000000"/>
                            <w:sz w:val="20"/>
                            <w:szCs w:val="20"/>
                          </w:rPr>
                          <w:t xml:space="preserve"> December 31, 2006. </w:t>
                        </w:r>
                      </w:p>
                      <w:p w:rsidR="00D36B4F" w:rsidRDefault="00D36B4F" w:rsidP="00547A2E">
                        <w:pPr>
                          <w:ind w:right="248"/>
                          <w:rPr>
                            <w:rFonts w:ascii="Arial" w:hAnsi="Arial" w:cs="Arial"/>
                            <w:color w:val="000000"/>
                            <w:sz w:val="20"/>
                            <w:szCs w:val="20"/>
                          </w:rPr>
                        </w:pP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lastRenderedPageBreak/>
                          <w:t>4. Cost Principle</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547A2E">
                        <w:pPr>
                          <w:tabs>
                            <w:tab w:val="left" w:pos="6503"/>
                          </w:tabs>
                          <w:ind w:right="248"/>
                          <w:rPr>
                            <w:rFonts w:ascii="Arial" w:hAnsi="Arial" w:cs="Arial"/>
                            <w:color w:val="000000"/>
                            <w:sz w:val="20"/>
                            <w:szCs w:val="20"/>
                          </w:rPr>
                        </w:pPr>
                        <w:r>
                          <w:rPr>
                            <w:rFonts w:ascii="Arial" w:hAnsi="Arial" w:cs="Arial"/>
                            <w:color w:val="000000"/>
                            <w:sz w:val="20"/>
                            <w:szCs w:val="20"/>
                          </w:rPr>
                          <w:t xml:space="preserve">From an accountant's point of view, the term "cost" refers to the amount spent (cash or the cash equivalent) when an item was </w:t>
                        </w:r>
                        <w:r>
                          <w:rPr>
                            <w:rFonts w:ascii="Arial" w:hAnsi="Arial" w:cs="Arial"/>
                            <w:i/>
                            <w:iCs/>
                            <w:color w:val="000000"/>
                            <w:sz w:val="20"/>
                            <w:szCs w:val="20"/>
                          </w:rPr>
                          <w:t>originally</w:t>
                        </w:r>
                        <w:r>
                          <w:rPr>
                            <w:rFonts w:ascii="Arial" w:hAnsi="Arial" w:cs="Arial"/>
                            <w:color w:val="000000"/>
                            <w:sz w:val="20"/>
                            <w:szCs w:val="20"/>
                          </w:rPr>
                          <w:t xml:space="preserve"> obtained, whether that purchase happened last year or thirty years ago. For this reason, the amounts shown on financial statements are referred to as </w:t>
                        </w:r>
                        <w:r>
                          <w:rPr>
                            <w:rFonts w:ascii="Arial" w:hAnsi="Arial" w:cs="Arial"/>
                            <w:i/>
                            <w:iCs/>
                            <w:color w:val="000000"/>
                            <w:sz w:val="20"/>
                            <w:szCs w:val="20"/>
                          </w:rPr>
                          <w:t>historical</w:t>
                        </w:r>
                        <w:r>
                          <w:rPr>
                            <w:rFonts w:ascii="Arial" w:hAnsi="Arial" w:cs="Arial"/>
                            <w:color w:val="000000"/>
                            <w:sz w:val="20"/>
                            <w:szCs w:val="20"/>
                          </w:rPr>
                          <w:t xml:space="preserve"> cost amounts. </w:t>
                        </w:r>
                        <w:r>
                          <w:rPr>
                            <w:rFonts w:ascii="Arial" w:hAnsi="Arial" w:cs="Arial"/>
                            <w:color w:val="000000"/>
                            <w:sz w:val="20"/>
                            <w:szCs w:val="20"/>
                          </w:rPr>
                          <w:br/>
                        </w:r>
                        <w:r>
                          <w:rPr>
                            <w:rFonts w:ascii="Arial" w:hAnsi="Arial" w:cs="Arial"/>
                            <w:color w:val="000000"/>
                            <w:sz w:val="20"/>
                            <w:szCs w:val="20"/>
                          </w:rPr>
                          <w:br/>
                          <w:t xml:space="preserve">Because of this accounting principle asset amounts are </w:t>
                        </w:r>
                        <w:r>
                          <w:rPr>
                            <w:rFonts w:ascii="Arial" w:hAnsi="Arial" w:cs="Arial"/>
                            <w:i/>
                            <w:iCs/>
                            <w:color w:val="000000"/>
                            <w:sz w:val="20"/>
                            <w:szCs w:val="20"/>
                          </w:rPr>
                          <w:t>not</w:t>
                        </w:r>
                        <w:r>
                          <w:rPr>
                            <w:rFonts w:ascii="Arial" w:hAnsi="Arial" w:cs="Arial"/>
                            <w:color w:val="000000"/>
                            <w:sz w:val="20"/>
                            <w:szCs w:val="20"/>
                          </w:rPr>
                          <w:t xml:space="preserve"> adjusted upward for inflation. In fact, as a general rule, asset amounts are not adjusted to reflect </w:t>
                        </w:r>
                        <w:r>
                          <w:rPr>
                            <w:rFonts w:ascii="Arial" w:hAnsi="Arial" w:cs="Arial"/>
                            <w:i/>
                            <w:iCs/>
                            <w:color w:val="000000"/>
                            <w:sz w:val="20"/>
                            <w:szCs w:val="20"/>
                          </w:rPr>
                          <w:t>any</w:t>
                        </w:r>
                        <w:r>
                          <w:rPr>
                            <w:rFonts w:ascii="Arial" w:hAnsi="Arial" w:cs="Arial"/>
                            <w:color w:val="000000"/>
                            <w:sz w:val="20"/>
                            <w:szCs w:val="20"/>
                          </w:rPr>
                          <w:t xml:space="preserve"> type of increase in value. Hence, an asset amount does not reflect the amount of money a company would receive if it were to sell the asset at today's market value. (An exception is certain investments in stocks and bonds that are actively traded on a stock exchange.) If you want to know the current value of a company's long-term assets, you will not get this information from a company's financial statements--you need to look elsewhere, perhaps to a third-party appraiser. </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5. Full Disclosure Principle</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547A2E">
                        <w:pPr>
                          <w:tabs>
                            <w:tab w:val="left" w:pos="6503"/>
                          </w:tabs>
                          <w:ind w:right="248"/>
                          <w:rPr>
                            <w:rFonts w:ascii="Arial" w:hAnsi="Arial" w:cs="Arial"/>
                            <w:color w:val="000000"/>
                            <w:sz w:val="20"/>
                            <w:szCs w:val="20"/>
                          </w:rPr>
                        </w:pPr>
                        <w:r>
                          <w:rPr>
                            <w:rFonts w:ascii="Arial" w:hAnsi="Arial" w:cs="Arial"/>
                            <w:color w:val="000000"/>
                            <w:sz w:val="20"/>
                            <w:szCs w:val="20"/>
                          </w:rPr>
                          <w:t xml:space="preserve">If certain information is important to an investor or lender using the financial statements, that information should be disclosed within the statement or in the notes to the statement. It is because of this basic accounting principle that numerous pages of "footnotes" are often attached to financial statements. </w:t>
                        </w:r>
                        <w:r>
                          <w:rPr>
                            <w:rFonts w:ascii="Arial" w:hAnsi="Arial" w:cs="Arial"/>
                            <w:color w:val="000000"/>
                            <w:sz w:val="20"/>
                            <w:szCs w:val="20"/>
                          </w:rPr>
                          <w:br/>
                        </w:r>
                        <w:r>
                          <w:rPr>
                            <w:rFonts w:ascii="Arial" w:hAnsi="Arial" w:cs="Arial"/>
                            <w:color w:val="000000"/>
                            <w:sz w:val="20"/>
                            <w:szCs w:val="20"/>
                          </w:rPr>
                          <w:br/>
                          <w:t xml:space="preserve">As an example, let's say a company is named in a lawsuit that demands a significant amount of money. When the financial statements are prepared it is not clear whether the company will be able to defend itself or whether it might lose the lawsuit. As a result of these conditions and because of the full disclosure principle the lawsuit will be described in the notes to the financial statements. </w:t>
                        </w:r>
                        <w:r>
                          <w:rPr>
                            <w:rFonts w:ascii="Arial" w:hAnsi="Arial" w:cs="Arial"/>
                            <w:color w:val="000000"/>
                            <w:sz w:val="20"/>
                            <w:szCs w:val="20"/>
                          </w:rPr>
                          <w:br/>
                        </w:r>
                        <w:r>
                          <w:rPr>
                            <w:rFonts w:ascii="Arial" w:hAnsi="Arial" w:cs="Arial"/>
                            <w:color w:val="000000"/>
                            <w:sz w:val="20"/>
                            <w:szCs w:val="20"/>
                          </w:rPr>
                          <w:br/>
                          <w:t>A company usually lists its significant accounting policies as the first note to its financial statements.</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6. Going Concern Principle</w:t>
                        </w:r>
                        <w:r w:rsidR="00D36B4F">
                          <w:rPr>
                            <w:rFonts w:ascii="Arial" w:hAnsi="Arial" w:cs="Arial"/>
                            <w:b/>
                            <w:bCs/>
                            <w:color w:val="000000"/>
                            <w:sz w:val="20"/>
                            <w:szCs w:val="20"/>
                          </w:rPr>
                          <w:t xml:space="preserve"> / Continuity of Activity</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547A2E">
                        <w:pPr>
                          <w:ind w:right="248"/>
                          <w:rPr>
                            <w:rFonts w:ascii="Arial" w:hAnsi="Arial" w:cs="Arial"/>
                            <w:color w:val="000000"/>
                            <w:sz w:val="20"/>
                            <w:szCs w:val="20"/>
                          </w:rPr>
                        </w:pPr>
                        <w:r>
                          <w:rPr>
                            <w:rFonts w:ascii="Arial" w:hAnsi="Arial" w:cs="Arial"/>
                            <w:color w:val="000000"/>
                            <w:sz w:val="20"/>
                            <w:szCs w:val="20"/>
                          </w:rPr>
                          <w:t xml:space="preserve">This accounting principle assumes that a company will continue to exist long enough to carry out its objectives and commitments and will not liquidate in the foreseeable future. If the company's financial situation is such that the accountant believes the company will </w:t>
                        </w:r>
                        <w:r>
                          <w:rPr>
                            <w:rFonts w:ascii="Arial" w:hAnsi="Arial" w:cs="Arial"/>
                            <w:i/>
                            <w:iCs/>
                            <w:color w:val="000000"/>
                            <w:sz w:val="20"/>
                            <w:szCs w:val="20"/>
                          </w:rPr>
                          <w:t>not</w:t>
                        </w:r>
                        <w:r>
                          <w:rPr>
                            <w:rFonts w:ascii="Arial" w:hAnsi="Arial" w:cs="Arial"/>
                            <w:color w:val="000000"/>
                            <w:sz w:val="20"/>
                            <w:szCs w:val="20"/>
                          </w:rPr>
                          <w:t xml:space="preserve"> be able to continue on, the accountant is required to disclose this assessment. </w:t>
                        </w:r>
                        <w:r>
                          <w:rPr>
                            <w:rFonts w:ascii="Arial" w:hAnsi="Arial" w:cs="Arial"/>
                            <w:color w:val="000000"/>
                            <w:sz w:val="20"/>
                            <w:szCs w:val="20"/>
                          </w:rPr>
                          <w:br/>
                        </w:r>
                        <w:r>
                          <w:rPr>
                            <w:rFonts w:ascii="Arial" w:hAnsi="Arial" w:cs="Arial"/>
                            <w:color w:val="000000"/>
                            <w:sz w:val="20"/>
                            <w:szCs w:val="20"/>
                          </w:rPr>
                          <w:br/>
                          <w:t>The going concern principle allows the company to defer some of its prepaid expenses until future accounting periods.</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7. Matching Principle</w:t>
                        </w:r>
                        <w:r w:rsidR="00404A9B">
                          <w:rPr>
                            <w:rFonts w:ascii="Arial" w:hAnsi="Arial" w:cs="Arial"/>
                            <w:b/>
                            <w:bCs/>
                            <w:color w:val="000000"/>
                            <w:sz w:val="20"/>
                            <w:szCs w:val="20"/>
                          </w:rPr>
                          <w:t xml:space="preserve"> /</w:t>
                        </w:r>
                        <w:r w:rsidR="00D36B4F">
                          <w:rPr>
                            <w:rFonts w:ascii="Arial" w:hAnsi="Arial" w:cs="Arial"/>
                            <w:b/>
                            <w:bCs/>
                            <w:color w:val="000000"/>
                            <w:sz w:val="20"/>
                            <w:szCs w:val="20"/>
                          </w:rPr>
                          <w:t xml:space="preserve"> Effort and Accomplish-ment</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Pr="00547A2E" w:rsidRDefault="002434B7" w:rsidP="00547A2E">
                        <w:pPr>
                          <w:tabs>
                            <w:tab w:val="left" w:pos="6503"/>
                          </w:tabs>
                          <w:ind w:right="248"/>
                          <w:rPr>
                            <w:rFonts w:ascii="Arial" w:hAnsi="Arial" w:cs="Arial"/>
                            <w:color w:val="000000"/>
                            <w:sz w:val="20"/>
                            <w:szCs w:val="20"/>
                          </w:rPr>
                        </w:pPr>
                        <w:r w:rsidRPr="00547A2E">
                          <w:rPr>
                            <w:rFonts w:ascii="Arial" w:hAnsi="Arial" w:cs="Arial"/>
                            <w:color w:val="000000"/>
                            <w:sz w:val="20"/>
                            <w:szCs w:val="20"/>
                          </w:rPr>
                          <w:t xml:space="preserve">This accounting principle requires companies to use the </w:t>
                        </w:r>
                        <w:hyperlink r:id="rId80" w:anchor="accrual basis of accounting" w:history="1">
                          <w:r w:rsidRPr="00547A2E">
                            <w:rPr>
                              <w:rStyle w:val="Hyperlink"/>
                              <w:rFonts w:ascii="Arial" w:hAnsi="Arial" w:cs="Arial"/>
                              <w:b/>
                              <w:bCs/>
                              <w:color w:val="000000"/>
                              <w:sz w:val="20"/>
                              <w:szCs w:val="20"/>
                              <w:u w:val="none"/>
                            </w:rPr>
                            <w:t>accrual basis of accounting</w:t>
                          </w:r>
                        </w:hyperlink>
                        <w:r w:rsidRPr="00547A2E">
                          <w:rPr>
                            <w:rFonts w:ascii="Arial" w:hAnsi="Arial" w:cs="Arial"/>
                            <w:color w:val="000000"/>
                            <w:sz w:val="20"/>
                            <w:szCs w:val="20"/>
                          </w:rPr>
                          <w:t xml:space="preserve">. The matching principle requires that expenses be matched with revenues. For example, sales commissions expense should be reported in the period when the sales were made (and not reported in the period when the commissions were paid). Wages to employees are reported as an expense in the week when the employees worked and not in the week when the employees are paid. If a company agrees to give its employees 1% of its 2005 revenues as a bonus on January 15, 2006, the company should report the bonus as an expense in 2005 and the amount unpaid at December 31, 2005 as a liability. (The expense is occurring as the sales are occurring.) </w:t>
                        </w:r>
                        <w:r w:rsidRPr="00547A2E">
                          <w:rPr>
                            <w:rFonts w:ascii="Arial" w:hAnsi="Arial" w:cs="Arial"/>
                            <w:color w:val="000000"/>
                            <w:sz w:val="20"/>
                            <w:szCs w:val="20"/>
                          </w:rPr>
                          <w:br/>
                        </w:r>
                        <w:r w:rsidRPr="00547A2E">
                          <w:rPr>
                            <w:rFonts w:ascii="Arial" w:hAnsi="Arial" w:cs="Arial"/>
                            <w:color w:val="000000"/>
                            <w:sz w:val="20"/>
                            <w:szCs w:val="20"/>
                          </w:rPr>
                          <w:br/>
                          <w:t xml:space="preserve">Because we cannot measure the future economic benefit of things such as advertisements (and thereby we cannot match the ad expense with related </w:t>
                        </w:r>
                        <w:r w:rsidRPr="00547A2E">
                          <w:rPr>
                            <w:rFonts w:ascii="Arial" w:hAnsi="Arial" w:cs="Arial"/>
                            <w:color w:val="000000"/>
                            <w:sz w:val="20"/>
                            <w:szCs w:val="20"/>
                          </w:rPr>
                          <w:lastRenderedPageBreak/>
                          <w:t xml:space="preserve">future revenues), the accountant charges the ad amount to expense in the period that the ad is run. </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lastRenderedPageBreak/>
                          <w:t>8. Revenue Recognition Principle</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6D6DAF">
                        <w:pPr>
                          <w:ind w:right="248"/>
                          <w:rPr>
                            <w:rFonts w:ascii="Arial" w:hAnsi="Arial" w:cs="Arial"/>
                            <w:color w:val="000000"/>
                            <w:sz w:val="20"/>
                            <w:szCs w:val="20"/>
                          </w:rPr>
                        </w:pPr>
                        <w:r>
                          <w:rPr>
                            <w:rFonts w:ascii="Arial" w:hAnsi="Arial" w:cs="Arial"/>
                            <w:color w:val="000000"/>
                            <w:sz w:val="20"/>
                            <w:szCs w:val="20"/>
                          </w:rPr>
                          <w:t>Under the</w:t>
                        </w:r>
                        <w:r w:rsidRPr="006D6DAF">
                          <w:rPr>
                            <w:rFonts w:ascii="Arial" w:hAnsi="Arial" w:cs="Arial"/>
                            <w:color w:val="000000"/>
                            <w:sz w:val="20"/>
                            <w:szCs w:val="20"/>
                          </w:rPr>
                          <w:t xml:space="preserve"> </w:t>
                        </w:r>
                        <w:hyperlink r:id="rId81" w:anchor="accrual basis of accounting" w:history="1">
                          <w:r w:rsidRPr="006D6DAF">
                            <w:rPr>
                              <w:rStyle w:val="Hyperlink"/>
                              <w:rFonts w:ascii="Arial" w:hAnsi="Arial" w:cs="Arial"/>
                              <w:b/>
                              <w:bCs/>
                              <w:color w:val="000000"/>
                              <w:sz w:val="20"/>
                              <w:szCs w:val="20"/>
                              <w:u w:val="none"/>
                            </w:rPr>
                            <w:t>accrual basis of accounting</w:t>
                          </w:r>
                        </w:hyperlink>
                        <w:r w:rsidRPr="006D6DAF">
                          <w:rPr>
                            <w:rFonts w:ascii="Arial" w:hAnsi="Arial" w:cs="Arial"/>
                            <w:color w:val="000000"/>
                            <w:sz w:val="20"/>
                            <w:szCs w:val="20"/>
                          </w:rPr>
                          <w:t xml:space="preserve"> (as opposed to the </w:t>
                        </w:r>
                        <w:hyperlink r:id="rId82" w:anchor="cash basis of accounting" w:history="1">
                          <w:r w:rsidRPr="006D6DAF">
                            <w:rPr>
                              <w:rStyle w:val="Hyperlink"/>
                              <w:rFonts w:ascii="Arial" w:hAnsi="Arial" w:cs="Arial"/>
                              <w:b/>
                              <w:bCs/>
                              <w:color w:val="000000"/>
                              <w:sz w:val="20"/>
                              <w:szCs w:val="20"/>
                              <w:u w:val="none"/>
                            </w:rPr>
                            <w:t>cash basis of accounting</w:t>
                          </w:r>
                        </w:hyperlink>
                        <w:r w:rsidRPr="006D6DAF">
                          <w:rPr>
                            <w:rFonts w:ascii="Arial" w:hAnsi="Arial" w:cs="Arial"/>
                            <w:color w:val="000000"/>
                            <w:sz w:val="20"/>
                            <w:szCs w:val="20"/>
                          </w:rPr>
                          <w:t xml:space="preserve">), </w:t>
                        </w:r>
                        <w:hyperlink r:id="rId83" w:anchor="revenues" w:history="1">
                          <w:r w:rsidRPr="006D6DAF">
                            <w:rPr>
                              <w:rStyle w:val="Hyperlink"/>
                              <w:rFonts w:ascii="Arial" w:hAnsi="Arial" w:cs="Arial"/>
                              <w:b/>
                              <w:bCs/>
                              <w:color w:val="000000"/>
                              <w:sz w:val="20"/>
                              <w:szCs w:val="20"/>
                              <w:u w:val="none"/>
                            </w:rPr>
                            <w:t>revenues</w:t>
                          </w:r>
                        </w:hyperlink>
                        <w:r>
                          <w:rPr>
                            <w:rFonts w:ascii="Arial" w:hAnsi="Arial" w:cs="Arial"/>
                            <w:color w:val="000000"/>
                            <w:sz w:val="20"/>
                            <w:szCs w:val="20"/>
                          </w:rPr>
                          <w:t xml:space="preserve"> are recognized as soon as a product has been sold or a service has been performed, regardless of when the money is actually received. Under this basic accounting principle, a company could earn and report $20,000 of revenue in its first month of operation but receive $0 in actual cash in that month. </w:t>
                        </w:r>
                        <w:r>
                          <w:rPr>
                            <w:rFonts w:ascii="Arial" w:hAnsi="Arial" w:cs="Arial"/>
                            <w:color w:val="000000"/>
                            <w:sz w:val="20"/>
                            <w:szCs w:val="20"/>
                          </w:rPr>
                          <w:br/>
                        </w:r>
                        <w:r>
                          <w:rPr>
                            <w:rFonts w:ascii="Arial" w:hAnsi="Arial" w:cs="Arial"/>
                            <w:color w:val="000000"/>
                            <w:sz w:val="20"/>
                            <w:szCs w:val="20"/>
                          </w:rPr>
                          <w:br/>
                          <w:t xml:space="preserve">For example, if ABC Consulting completes its service at an agreed price of $1,000, ABC should recognize $1,000 of revenue as soon as its work is done--it does not matter whether the client pays the $1,000 immediately or in 30 days. Do not confuse </w:t>
                        </w:r>
                        <w:r>
                          <w:rPr>
                            <w:rFonts w:ascii="Arial" w:hAnsi="Arial" w:cs="Arial"/>
                            <w:i/>
                            <w:iCs/>
                            <w:color w:val="000000"/>
                            <w:sz w:val="20"/>
                            <w:szCs w:val="20"/>
                          </w:rPr>
                          <w:t>revenue</w:t>
                        </w:r>
                        <w:r>
                          <w:rPr>
                            <w:rFonts w:ascii="Arial" w:hAnsi="Arial" w:cs="Arial"/>
                            <w:color w:val="000000"/>
                            <w:sz w:val="20"/>
                            <w:szCs w:val="20"/>
                          </w:rPr>
                          <w:t xml:space="preserve"> with a </w:t>
                        </w:r>
                        <w:hyperlink r:id="rId84" w:anchor="cash receipt" w:history="1">
                          <w:r w:rsidRPr="006D6DAF">
                            <w:rPr>
                              <w:rStyle w:val="Hyperlink"/>
                              <w:rFonts w:ascii="Arial" w:hAnsi="Arial" w:cs="Arial"/>
                              <w:b/>
                              <w:bCs/>
                              <w:i/>
                              <w:iCs/>
                              <w:color w:val="000000"/>
                              <w:sz w:val="20"/>
                              <w:szCs w:val="20"/>
                              <w:u w:val="none"/>
                            </w:rPr>
                            <w:t>cash receipt</w:t>
                          </w:r>
                        </w:hyperlink>
                        <w:r w:rsidRPr="006D6DAF">
                          <w:rPr>
                            <w:rFonts w:ascii="Arial" w:hAnsi="Arial" w:cs="Arial"/>
                            <w:color w:val="000000"/>
                            <w:sz w:val="20"/>
                            <w:szCs w:val="20"/>
                          </w:rPr>
                          <w:t>.</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9. Materiality</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6D6DAF">
                        <w:pPr>
                          <w:ind w:right="248"/>
                          <w:rPr>
                            <w:rFonts w:ascii="Arial" w:hAnsi="Arial" w:cs="Arial"/>
                            <w:color w:val="000000"/>
                            <w:sz w:val="20"/>
                            <w:szCs w:val="20"/>
                          </w:rPr>
                        </w:pPr>
                        <w:r>
                          <w:rPr>
                            <w:rFonts w:ascii="Arial" w:hAnsi="Arial" w:cs="Arial"/>
                            <w:color w:val="000000"/>
                            <w:sz w:val="20"/>
                            <w:szCs w:val="20"/>
                          </w:rPr>
                          <w:t xml:space="preserve">Because of this basic accounting principle or guideline, an accountant might be allowed to violate another accounting principle if an amount is insignificant. Professional judgment is needed to decide whether an amount is insignificant or immaterial. </w:t>
                        </w:r>
                        <w:r>
                          <w:rPr>
                            <w:rFonts w:ascii="Arial" w:hAnsi="Arial" w:cs="Arial"/>
                            <w:color w:val="000000"/>
                            <w:sz w:val="20"/>
                            <w:szCs w:val="20"/>
                          </w:rPr>
                          <w:br/>
                        </w:r>
                        <w:r>
                          <w:rPr>
                            <w:rFonts w:ascii="Arial" w:hAnsi="Arial" w:cs="Arial"/>
                            <w:color w:val="000000"/>
                            <w:sz w:val="20"/>
                            <w:szCs w:val="20"/>
                          </w:rPr>
                          <w:br/>
                          <w:t xml:space="preserve">An example of an obviously immaterial item is the purchase of a $150 printer by a highly profitable multi-million dollar company. Because the printer will be used for five years, the </w:t>
                        </w:r>
                        <w:r>
                          <w:rPr>
                            <w:rFonts w:ascii="Arial" w:hAnsi="Arial" w:cs="Arial"/>
                            <w:i/>
                            <w:iCs/>
                            <w:color w:val="000000"/>
                            <w:sz w:val="20"/>
                            <w:szCs w:val="20"/>
                          </w:rPr>
                          <w:t>matching</w:t>
                        </w:r>
                        <w:r>
                          <w:rPr>
                            <w:rFonts w:ascii="Arial" w:hAnsi="Arial" w:cs="Arial"/>
                            <w:color w:val="000000"/>
                            <w:sz w:val="20"/>
                            <w:szCs w:val="20"/>
                          </w:rPr>
                          <w:t xml:space="preserve"> principle directs the accountant to expense the cost over the five-year period. The </w:t>
                        </w:r>
                        <w:r>
                          <w:rPr>
                            <w:rFonts w:ascii="Arial" w:hAnsi="Arial" w:cs="Arial"/>
                            <w:b/>
                            <w:bCs/>
                            <w:color w:val="000000"/>
                            <w:sz w:val="20"/>
                            <w:szCs w:val="20"/>
                          </w:rPr>
                          <w:t>materiality</w:t>
                        </w:r>
                        <w:r>
                          <w:rPr>
                            <w:rFonts w:ascii="Arial" w:hAnsi="Arial" w:cs="Arial"/>
                            <w:color w:val="000000"/>
                            <w:sz w:val="20"/>
                            <w:szCs w:val="20"/>
                          </w:rPr>
                          <w:t xml:space="preserve"> guideline allows this company to violate the matching principle and to expense the entire cost of $150 in the year it is purchased. The justification is that no one would consider it misleading if $150 is expensed in the first year instead of $30 being expensed in each of the five years that it is used. </w:t>
                        </w:r>
                        <w:r>
                          <w:rPr>
                            <w:rFonts w:ascii="Arial" w:hAnsi="Arial" w:cs="Arial"/>
                            <w:color w:val="000000"/>
                            <w:sz w:val="20"/>
                            <w:szCs w:val="20"/>
                          </w:rPr>
                          <w:br/>
                        </w:r>
                        <w:r>
                          <w:rPr>
                            <w:rFonts w:ascii="Arial" w:hAnsi="Arial" w:cs="Arial"/>
                            <w:color w:val="000000"/>
                            <w:sz w:val="20"/>
                            <w:szCs w:val="20"/>
                          </w:rPr>
                          <w:br/>
                          <w:t>Because of materiality, financial statements usually show amounts rounded to the nearest dollar, to the nearest thousand, or to the nearest million dollars depending on the size of the company.</w:t>
                        </w:r>
                      </w:p>
                    </w:tc>
                  </w:tr>
                  <w:tr w:rsidR="002434B7">
                    <w:trPr>
                      <w:tblCellSpacing w:w="0" w:type="dxa"/>
                    </w:trPr>
                    <w:tc>
                      <w:tcPr>
                        <w:tcW w:w="1790" w:type="dxa"/>
                        <w:tcBorders>
                          <w:top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2434B7" w:rsidRDefault="002434B7">
                        <w:pPr>
                          <w:rPr>
                            <w:rFonts w:ascii="Arial" w:hAnsi="Arial" w:cs="Arial"/>
                            <w:b/>
                            <w:bCs/>
                            <w:color w:val="000000"/>
                            <w:sz w:val="20"/>
                            <w:szCs w:val="20"/>
                          </w:rPr>
                        </w:pPr>
                        <w:r>
                          <w:rPr>
                            <w:rFonts w:ascii="Arial" w:hAnsi="Arial" w:cs="Arial"/>
                            <w:b/>
                            <w:bCs/>
                            <w:color w:val="000000"/>
                            <w:sz w:val="20"/>
                            <w:szCs w:val="20"/>
                          </w:rPr>
                          <w:t>10. Conservatism</w:t>
                        </w:r>
                      </w:p>
                    </w:tc>
                    <w:tc>
                      <w:tcPr>
                        <w:tcW w:w="7529" w:type="dxa"/>
                        <w:tcBorders>
                          <w:bottom w:val="single" w:sz="6" w:space="0" w:color="000000"/>
                          <w:right w:val="single" w:sz="6" w:space="0" w:color="000000"/>
                        </w:tcBorders>
                        <w:shd w:val="clear" w:color="auto" w:fill="auto"/>
                        <w:tcMar>
                          <w:top w:w="150" w:type="dxa"/>
                          <w:left w:w="150" w:type="dxa"/>
                          <w:bottom w:w="150" w:type="dxa"/>
                          <w:right w:w="150" w:type="dxa"/>
                        </w:tcMar>
                        <w:vAlign w:val="center"/>
                      </w:tcPr>
                      <w:p w:rsidR="002434B7" w:rsidRDefault="002434B7" w:rsidP="006D6DAF">
                        <w:pPr>
                          <w:tabs>
                            <w:tab w:val="left" w:pos="6504"/>
                          </w:tabs>
                          <w:ind w:right="248"/>
                          <w:rPr>
                            <w:rFonts w:ascii="Arial" w:hAnsi="Arial" w:cs="Arial"/>
                            <w:color w:val="000000"/>
                            <w:sz w:val="20"/>
                            <w:szCs w:val="20"/>
                          </w:rPr>
                        </w:pPr>
                        <w:r>
                          <w:rPr>
                            <w:rFonts w:ascii="Arial" w:hAnsi="Arial" w:cs="Arial"/>
                            <w:color w:val="000000"/>
                            <w:sz w:val="20"/>
                            <w:szCs w:val="20"/>
                          </w:rPr>
                          <w:t xml:space="preserve">If a situation arises where there are two acceptable alternatives for reporting an item, conservatism directs the accountant to choose the alternative that will result in less net income and/or less asset amount. Conservatism helps the accountant to "break a tie." It does not direct accountants to be conservative. Accountants are expected to be unbiased and objective. </w:t>
                        </w:r>
                        <w:r>
                          <w:rPr>
                            <w:rFonts w:ascii="Arial" w:hAnsi="Arial" w:cs="Arial"/>
                            <w:color w:val="000000"/>
                            <w:sz w:val="20"/>
                            <w:szCs w:val="20"/>
                          </w:rPr>
                          <w:br/>
                        </w:r>
                        <w:r>
                          <w:rPr>
                            <w:rFonts w:ascii="Arial" w:hAnsi="Arial" w:cs="Arial"/>
                            <w:color w:val="000000"/>
                            <w:sz w:val="20"/>
                            <w:szCs w:val="20"/>
                          </w:rPr>
                          <w:br/>
                          <w:t xml:space="preserve">The basic accounting principle of conservatism leads accountants to anticipate or disclose losses, but it does not allow a similar action for gains. For example, </w:t>
                        </w:r>
                        <w:r>
                          <w:rPr>
                            <w:rFonts w:ascii="Arial" w:hAnsi="Arial" w:cs="Arial"/>
                            <w:i/>
                            <w:iCs/>
                            <w:color w:val="000000"/>
                            <w:sz w:val="20"/>
                            <w:szCs w:val="20"/>
                          </w:rPr>
                          <w:t>potential</w:t>
                        </w:r>
                        <w:r>
                          <w:rPr>
                            <w:rFonts w:ascii="Arial" w:hAnsi="Arial" w:cs="Arial"/>
                            <w:color w:val="000000"/>
                            <w:sz w:val="20"/>
                            <w:szCs w:val="20"/>
                          </w:rPr>
                          <w:t xml:space="preserve"> losses from lawsuits will be reported on the financial statements or in the notes, but </w:t>
                        </w:r>
                        <w:r>
                          <w:rPr>
                            <w:rFonts w:ascii="Arial" w:hAnsi="Arial" w:cs="Arial"/>
                            <w:i/>
                            <w:iCs/>
                            <w:color w:val="000000"/>
                            <w:sz w:val="20"/>
                            <w:szCs w:val="20"/>
                          </w:rPr>
                          <w:t>potential</w:t>
                        </w:r>
                        <w:r>
                          <w:rPr>
                            <w:rFonts w:ascii="Arial" w:hAnsi="Arial" w:cs="Arial"/>
                            <w:color w:val="000000"/>
                            <w:sz w:val="20"/>
                            <w:szCs w:val="20"/>
                          </w:rPr>
                          <w:t xml:space="preserve"> gains will not be reported. Also, an accountant may write inventory </w:t>
                        </w:r>
                        <w:r>
                          <w:rPr>
                            <w:rFonts w:ascii="Arial" w:hAnsi="Arial" w:cs="Arial"/>
                            <w:i/>
                            <w:iCs/>
                            <w:color w:val="000000"/>
                            <w:sz w:val="20"/>
                            <w:szCs w:val="20"/>
                          </w:rPr>
                          <w:t>down</w:t>
                        </w:r>
                        <w:r>
                          <w:rPr>
                            <w:rFonts w:ascii="Arial" w:hAnsi="Arial" w:cs="Arial"/>
                            <w:color w:val="000000"/>
                            <w:sz w:val="20"/>
                            <w:szCs w:val="20"/>
                          </w:rPr>
                          <w:t xml:space="preserve"> to an amount that is lower than the original cost, but will not write inventory </w:t>
                        </w:r>
                        <w:r>
                          <w:rPr>
                            <w:rFonts w:ascii="Arial" w:hAnsi="Arial" w:cs="Arial"/>
                            <w:i/>
                            <w:iCs/>
                            <w:color w:val="000000"/>
                            <w:sz w:val="20"/>
                            <w:szCs w:val="20"/>
                          </w:rPr>
                          <w:t>up</w:t>
                        </w:r>
                        <w:r>
                          <w:rPr>
                            <w:rFonts w:ascii="Arial" w:hAnsi="Arial" w:cs="Arial"/>
                            <w:color w:val="000000"/>
                            <w:sz w:val="20"/>
                            <w:szCs w:val="20"/>
                          </w:rPr>
                          <w:t xml:space="preserve"> to an amount higher than the original cost.</w:t>
                        </w:r>
                      </w:p>
                    </w:tc>
                  </w:tr>
                </w:tbl>
                <w:p w:rsidR="002434B7" w:rsidRDefault="002434B7">
                  <w:pPr>
                    <w:spacing w:after="240"/>
                    <w:rPr>
                      <w:rFonts w:ascii="Arial" w:hAnsi="Arial" w:cs="Arial"/>
                      <w:color w:val="000000"/>
                      <w:sz w:val="20"/>
                      <w:szCs w:val="20"/>
                    </w:rPr>
                  </w:pPr>
                </w:p>
              </w:tc>
              <w:tc>
                <w:tcPr>
                  <w:tcW w:w="180" w:type="dxa"/>
                  <w:vAlign w:val="center"/>
                </w:tcPr>
                <w:p w:rsidR="002434B7" w:rsidRDefault="002434B7">
                  <w:pPr>
                    <w:rPr>
                      <w:rFonts w:ascii="Arial" w:hAnsi="Arial" w:cs="Arial"/>
                      <w:color w:val="000000"/>
                      <w:sz w:val="20"/>
                      <w:szCs w:val="20"/>
                    </w:rPr>
                  </w:pPr>
                </w:p>
              </w:tc>
            </w:tr>
          </w:tbl>
          <w:p w:rsidR="002434B7" w:rsidRDefault="002434B7">
            <w:pPr>
              <w:spacing w:after="240"/>
              <w:rPr>
                <w:rFonts w:ascii="Arial" w:hAnsi="Arial" w:cs="Arial"/>
                <w:color w:val="000000"/>
                <w:sz w:val="20"/>
                <w:szCs w:val="20"/>
              </w:rPr>
            </w:pPr>
          </w:p>
        </w:tc>
      </w:tr>
    </w:tbl>
    <w:p w:rsidR="002E6B67" w:rsidRDefault="00C80CAF" w:rsidP="00D507EA">
      <w:pPr>
        <w:pStyle w:val="Heading2"/>
      </w:pPr>
      <w:r>
        <w:rPr>
          <w:rFonts w:ascii="Arial" w:hAnsi="Arial" w:cs="Arial"/>
          <w:color w:val="000000"/>
          <w:sz w:val="20"/>
          <w:szCs w:val="20"/>
        </w:rPr>
        <w:lastRenderedPageBreak/>
        <w:pict/>
      </w:r>
      <w:r>
        <w:rPr>
          <w:rFonts w:ascii="Arial" w:hAnsi="Arial" w:cs="Arial"/>
          <w:color w:val="000000"/>
          <w:sz w:val="20"/>
          <w:szCs w:val="20"/>
        </w:rPr>
        <w:pict/>
      </w:r>
      <w:r>
        <w:rPr>
          <w:rFonts w:ascii="Arial" w:hAnsi="Arial" w:cs="Arial"/>
          <w:color w:val="000000"/>
          <w:sz w:val="20"/>
          <w:szCs w:val="20"/>
        </w:rPr>
        <w:pict/>
      </w:r>
      <w:r>
        <w:rPr>
          <w:rFonts w:ascii="Arial" w:hAnsi="Arial" w:cs="Arial"/>
          <w:color w:val="000000"/>
          <w:sz w:val="20"/>
          <w:szCs w:val="20"/>
        </w:rPr>
        <w:pict/>
      </w:r>
      <w:hyperlink r:id="rId85" w:history="1"/>
      <w:r>
        <w:rPr>
          <w:rFonts w:ascii="Arial" w:hAnsi="Arial" w:cs="Arial"/>
          <w:color w:val="000000"/>
          <w:sz w:val="20"/>
          <w:szCs w:val="20"/>
        </w:rPr>
        <w:pict/>
      </w:r>
      <w:r>
        <w:rPr>
          <w:rFonts w:ascii="Arial" w:hAnsi="Arial" w:cs="Arial"/>
          <w:color w:val="000000"/>
          <w:sz w:val="20"/>
          <w:szCs w:val="20"/>
        </w:rPr>
        <w:pict/>
      </w:r>
    </w:p>
    <w:sectPr w:rsidR="002E6B67">
      <w:footerReference w:type="even" r:id="rId86"/>
      <w:footerReference w:type="default" r:id="rId8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96" w:rsidRDefault="00184496">
      <w:r>
        <w:separator/>
      </w:r>
    </w:p>
  </w:endnote>
  <w:endnote w:type="continuationSeparator" w:id="1">
    <w:p w:rsidR="00184496" w:rsidRDefault="00184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9B" w:rsidRDefault="00404A9B" w:rsidP="00D50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A9B" w:rsidRDefault="00404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9B" w:rsidRDefault="00404A9B" w:rsidP="00D507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9A9">
      <w:rPr>
        <w:rStyle w:val="PageNumber"/>
        <w:noProof/>
      </w:rPr>
      <w:t>11</w:t>
    </w:r>
    <w:r>
      <w:rPr>
        <w:rStyle w:val="PageNumber"/>
      </w:rPr>
      <w:fldChar w:fldCharType="end"/>
    </w:r>
  </w:p>
  <w:p w:rsidR="00404A9B" w:rsidRDefault="00404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96" w:rsidRDefault="00184496">
      <w:r>
        <w:separator/>
      </w:r>
    </w:p>
  </w:footnote>
  <w:footnote w:type="continuationSeparator" w:id="1">
    <w:p w:rsidR="00184496" w:rsidRDefault="00184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7EF"/>
    <w:multiLevelType w:val="multilevel"/>
    <w:tmpl w:val="3062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85333"/>
    <w:multiLevelType w:val="multilevel"/>
    <w:tmpl w:val="28CA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E1143"/>
    <w:multiLevelType w:val="multilevel"/>
    <w:tmpl w:val="CF1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E7097"/>
    <w:multiLevelType w:val="multilevel"/>
    <w:tmpl w:val="38FA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131F"/>
    <w:multiLevelType w:val="multilevel"/>
    <w:tmpl w:val="69F8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B15CD"/>
    <w:multiLevelType w:val="multilevel"/>
    <w:tmpl w:val="2E2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A3AFA"/>
    <w:multiLevelType w:val="multilevel"/>
    <w:tmpl w:val="B0D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91AB3"/>
    <w:multiLevelType w:val="multilevel"/>
    <w:tmpl w:val="F2CA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C5323"/>
    <w:multiLevelType w:val="multilevel"/>
    <w:tmpl w:val="3DD2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21FCF"/>
    <w:multiLevelType w:val="multilevel"/>
    <w:tmpl w:val="256A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3503E"/>
    <w:multiLevelType w:val="multilevel"/>
    <w:tmpl w:val="2AB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14436"/>
    <w:multiLevelType w:val="multilevel"/>
    <w:tmpl w:val="2B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44870"/>
    <w:multiLevelType w:val="multilevel"/>
    <w:tmpl w:val="5CCE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E1153"/>
    <w:multiLevelType w:val="multilevel"/>
    <w:tmpl w:val="90B6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27C8B"/>
    <w:multiLevelType w:val="multilevel"/>
    <w:tmpl w:val="79B4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744F12"/>
    <w:multiLevelType w:val="multilevel"/>
    <w:tmpl w:val="432C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AC2FE5"/>
    <w:multiLevelType w:val="multilevel"/>
    <w:tmpl w:val="416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B0E04"/>
    <w:multiLevelType w:val="multilevel"/>
    <w:tmpl w:val="C8EA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258B6"/>
    <w:multiLevelType w:val="multilevel"/>
    <w:tmpl w:val="E7B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E7282"/>
    <w:multiLevelType w:val="multilevel"/>
    <w:tmpl w:val="81F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44207"/>
    <w:multiLevelType w:val="multilevel"/>
    <w:tmpl w:val="B49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E52C5"/>
    <w:multiLevelType w:val="multilevel"/>
    <w:tmpl w:val="3076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0B3309"/>
    <w:multiLevelType w:val="multilevel"/>
    <w:tmpl w:val="500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F62B28"/>
    <w:multiLevelType w:val="multilevel"/>
    <w:tmpl w:val="9A14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E1B94"/>
    <w:multiLevelType w:val="multilevel"/>
    <w:tmpl w:val="4A24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FA6E5B"/>
    <w:multiLevelType w:val="multilevel"/>
    <w:tmpl w:val="D53C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0"/>
  </w:num>
  <w:num w:numId="4">
    <w:abstractNumId w:val="23"/>
  </w:num>
  <w:num w:numId="5">
    <w:abstractNumId w:val="20"/>
  </w:num>
  <w:num w:numId="6">
    <w:abstractNumId w:val="25"/>
  </w:num>
  <w:num w:numId="7">
    <w:abstractNumId w:val="3"/>
  </w:num>
  <w:num w:numId="8">
    <w:abstractNumId w:val="24"/>
  </w:num>
  <w:num w:numId="9">
    <w:abstractNumId w:val="9"/>
  </w:num>
  <w:num w:numId="10">
    <w:abstractNumId w:val="2"/>
  </w:num>
  <w:num w:numId="11">
    <w:abstractNumId w:val="19"/>
  </w:num>
  <w:num w:numId="12">
    <w:abstractNumId w:val="21"/>
  </w:num>
  <w:num w:numId="13">
    <w:abstractNumId w:val="5"/>
  </w:num>
  <w:num w:numId="14">
    <w:abstractNumId w:val="7"/>
  </w:num>
  <w:num w:numId="15">
    <w:abstractNumId w:val="18"/>
  </w:num>
  <w:num w:numId="16">
    <w:abstractNumId w:val="6"/>
  </w:num>
  <w:num w:numId="17">
    <w:abstractNumId w:val="12"/>
  </w:num>
  <w:num w:numId="18">
    <w:abstractNumId w:val="13"/>
  </w:num>
  <w:num w:numId="19">
    <w:abstractNumId w:val="16"/>
  </w:num>
  <w:num w:numId="20">
    <w:abstractNumId w:val="22"/>
  </w:num>
  <w:num w:numId="21">
    <w:abstractNumId w:val="1"/>
  </w:num>
  <w:num w:numId="22">
    <w:abstractNumId w:val="0"/>
  </w:num>
  <w:num w:numId="23">
    <w:abstractNumId w:val="14"/>
  </w:num>
  <w:num w:numId="24">
    <w:abstractNumId w:val="17"/>
  </w:num>
  <w:num w:numId="25">
    <w:abstractNumId w:val="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643B7"/>
    <w:rsid w:val="00013299"/>
    <w:rsid w:val="00013AAA"/>
    <w:rsid w:val="000216C8"/>
    <w:rsid w:val="00030335"/>
    <w:rsid w:val="000411BE"/>
    <w:rsid w:val="000442FD"/>
    <w:rsid w:val="00054098"/>
    <w:rsid w:val="0006640B"/>
    <w:rsid w:val="00086098"/>
    <w:rsid w:val="00114BDA"/>
    <w:rsid w:val="0014174D"/>
    <w:rsid w:val="00165F68"/>
    <w:rsid w:val="00171DBB"/>
    <w:rsid w:val="00184496"/>
    <w:rsid w:val="001A5BE7"/>
    <w:rsid w:val="001C7836"/>
    <w:rsid w:val="001E65F5"/>
    <w:rsid w:val="00226999"/>
    <w:rsid w:val="00231E4C"/>
    <w:rsid w:val="002434B7"/>
    <w:rsid w:val="00257252"/>
    <w:rsid w:val="00276FEC"/>
    <w:rsid w:val="002A3917"/>
    <w:rsid w:val="002A3C4E"/>
    <w:rsid w:val="002C15B9"/>
    <w:rsid w:val="002E1E1A"/>
    <w:rsid w:val="002E6B67"/>
    <w:rsid w:val="00303803"/>
    <w:rsid w:val="003408E6"/>
    <w:rsid w:val="00371B77"/>
    <w:rsid w:val="0038305C"/>
    <w:rsid w:val="00386277"/>
    <w:rsid w:val="003967B1"/>
    <w:rsid w:val="003C2E57"/>
    <w:rsid w:val="003D4578"/>
    <w:rsid w:val="003E3F40"/>
    <w:rsid w:val="00404A9B"/>
    <w:rsid w:val="00423178"/>
    <w:rsid w:val="00432913"/>
    <w:rsid w:val="004476C7"/>
    <w:rsid w:val="00455804"/>
    <w:rsid w:val="00467BBC"/>
    <w:rsid w:val="0047409E"/>
    <w:rsid w:val="00475671"/>
    <w:rsid w:val="00497197"/>
    <w:rsid w:val="004B14D1"/>
    <w:rsid w:val="004B5CB5"/>
    <w:rsid w:val="004C554D"/>
    <w:rsid w:val="004D04BD"/>
    <w:rsid w:val="004D3FE9"/>
    <w:rsid w:val="0050407B"/>
    <w:rsid w:val="005139A9"/>
    <w:rsid w:val="00520A9F"/>
    <w:rsid w:val="00525CBC"/>
    <w:rsid w:val="00526396"/>
    <w:rsid w:val="00536D73"/>
    <w:rsid w:val="00543678"/>
    <w:rsid w:val="005460A5"/>
    <w:rsid w:val="00547A2E"/>
    <w:rsid w:val="00551AD9"/>
    <w:rsid w:val="00560A0C"/>
    <w:rsid w:val="005E25DA"/>
    <w:rsid w:val="005F36AA"/>
    <w:rsid w:val="0068512A"/>
    <w:rsid w:val="006A3C6A"/>
    <w:rsid w:val="006D6DAF"/>
    <w:rsid w:val="006F2FB0"/>
    <w:rsid w:val="007421FB"/>
    <w:rsid w:val="00790F98"/>
    <w:rsid w:val="007B498D"/>
    <w:rsid w:val="007B499D"/>
    <w:rsid w:val="007E14B0"/>
    <w:rsid w:val="007F7BB0"/>
    <w:rsid w:val="008006DC"/>
    <w:rsid w:val="00801AFA"/>
    <w:rsid w:val="00801BC6"/>
    <w:rsid w:val="00802FA4"/>
    <w:rsid w:val="00844B10"/>
    <w:rsid w:val="008651CC"/>
    <w:rsid w:val="00881BD9"/>
    <w:rsid w:val="0089599C"/>
    <w:rsid w:val="008A2FB7"/>
    <w:rsid w:val="008D158D"/>
    <w:rsid w:val="008E2459"/>
    <w:rsid w:val="008F6C9A"/>
    <w:rsid w:val="008F6ECA"/>
    <w:rsid w:val="008F7128"/>
    <w:rsid w:val="009008F3"/>
    <w:rsid w:val="00903233"/>
    <w:rsid w:val="00904740"/>
    <w:rsid w:val="00906EEF"/>
    <w:rsid w:val="00913D5F"/>
    <w:rsid w:val="00922198"/>
    <w:rsid w:val="00923A14"/>
    <w:rsid w:val="00926F4F"/>
    <w:rsid w:val="00956273"/>
    <w:rsid w:val="009643B7"/>
    <w:rsid w:val="00974533"/>
    <w:rsid w:val="00996AB0"/>
    <w:rsid w:val="009A3914"/>
    <w:rsid w:val="009A6D6A"/>
    <w:rsid w:val="009B7CBB"/>
    <w:rsid w:val="009C6A71"/>
    <w:rsid w:val="009D173C"/>
    <w:rsid w:val="009D2237"/>
    <w:rsid w:val="009F11C5"/>
    <w:rsid w:val="00A03563"/>
    <w:rsid w:val="00A2762D"/>
    <w:rsid w:val="00A45774"/>
    <w:rsid w:val="00A53813"/>
    <w:rsid w:val="00A72090"/>
    <w:rsid w:val="00AB6B76"/>
    <w:rsid w:val="00AC7116"/>
    <w:rsid w:val="00AF33B8"/>
    <w:rsid w:val="00AF37B0"/>
    <w:rsid w:val="00B122AB"/>
    <w:rsid w:val="00B561CA"/>
    <w:rsid w:val="00B60CC8"/>
    <w:rsid w:val="00BA2BF4"/>
    <w:rsid w:val="00BA603E"/>
    <w:rsid w:val="00BC44B8"/>
    <w:rsid w:val="00BD5668"/>
    <w:rsid w:val="00BE13A5"/>
    <w:rsid w:val="00BF335C"/>
    <w:rsid w:val="00BF5F69"/>
    <w:rsid w:val="00C03EC0"/>
    <w:rsid w:val="00C336BF"/>
    <w:rsid w:val="00C36D63"/>
    <w:rsid w:val="00C47D12"/>
    <w:rsid w:val="00C5300C"/>
    <w:rsid w:val="00C70733"/>
    <w:rsid w:val="00C73C11"/>
    <w:rsid w:val="00C80CAF"/>
    <w:rsid w:val="00C839C6"/>
    <w:rsid w:val="00C96821"/>
    <w:rsid w:val="00CA0108"/>
    <w:rsid w:val="00CC40A2"/>
    <w:rsid w:val="00CD27D1"/>
    <w:rsid w:val="00CD3FA2"/>
    <w:rsid w:val="00CF0DBC"/>
    <w:rsid w:val="00D32DB8"/>
    <w:rsid w:val="00D36B4F"/>
    <w:rsid w:val="00D507EA"/>
    <w:rsid w:val="00D515BB"/>
    <w:rsid w:val="00D761A8"/>
    <w:rsid w:val="00D80432"/>
    <w:rsid w:val="00DB5746"/>
    <w:rsid w:val="00DD3399"/>
    <w:rsid w:val="00DF4687"/>
    <w:rsid w:val="00E2112E"/>
    <w:rsid w:val="00E575BF"/>
    <w:rsid w:val="00EC05BB"/>
    <w:rsid w:val="00EC577A"/>
    <w:rsid w:val="00EE0AF0"/>
    <w:rsid w:val="00EE1B9B"/>
    <w:rsid w:val="00F15111"/>
    <w:rsid w:val="00F210B8"/>
    <w:rsid w:val="00F27D28"/>
    <w:rsid w:val="00F50CC0"/>
    <w:rsid w:val="00F83F70"/>
    <w:rsid w:val="00F93B34"/>
    <w:rsid w:val="00FA5E1D"/>
    <w:rsid w:val="00FB5FD5"/>
    <w:rsid w:val="00FB756C"/>
    <w:rsid w:val="00FE07C7"/>
    <w:rsid w:val="00FF3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643B7"/>
    <w:pPr>
      <w:spacing w:before="100" w:beforeAutospacing="1" w:after="100" w:afterAutospacing="1"/>
      <w:outlineLvl w:val="0"/>
    </w:pPr>
    <w:rPr>
      <w:b/>
      <w:bCs/>
      <w:kern w:val="36"/>
      <w:sz w:val="48"/>
      <w:szCs w:val="48"/>
    </w:rPr>
  </w:style>
  <w:style w:type="paragraph" w:styleId="Heading2">
    <w:name w:val="heading 2"/>
    <w:basedOn w:val="Normal"/>
    <w:qFormat/>
    <w:rsid w:val="009643B7"/>
    <w:pPr>
      <w:spacing w:before="100" w:beforeAutospacing="1" w:after="100" w:afterAutospacing="1"/>
      <w:outlineLvl w:val="1"/>
    </w:pPr>
    <w:rPr>
      <w:b/>
      <w:bCs/>
      <w:sz w:val="36"/>
      <w:szCs w:val="36"/>
    </w:rPr>
  </w:style>
  <w:style w:type="paragraph" w:styleId="Heading3">
    <w:name w:val="heading 3"/>
    <w:basedOn w:val="Normal"/>
    <w:qFormat/>
    <w:rsid w:val="009643B7"/>
    <w:pPr>
      <w:spacing w:before="100" w:beforeAutospacing="1" w:after="100" w:afterAutospacing="1"/>
      <w:outlineLvl w:val="2"/>
    </w:pPr>
    <w:rPr>
      <w:b/>
      <w:bCs/>
      <w:sz w:val="27"/>
      <w:szCs w:val="27"/>
    </w:rPr>
  </w:style>
  <w:style w:type="paragraph" w:styleId="Heading4">
    <w:name w:val="heading 4"/>
    <w:basedOn w:val="Normal"/>
    <w:next w:val="Normal"/>
    <w:qFormat/>
    <w:rsid w:val="00C80CAF"/>
    <w:pPr>
      <w:keepNext/>
      <w:spacing w:before="240" w:after="60"/>
      <w:outlineLvl w:val="3"/>
    </w:pPr>
    <w:rPr>
      <w:b/>
      <w:bCs/>
      <w:sz w:val="28"/>
      <w:szCs w:val="28"/>
    </w:rPr>
  </w:style>
  <w:style w:type="paragraph" w:styleId="Heading5">
    <w:name w:val="heading 5"/>
    <w:basedOn w:val="Normal"/>
    <w:qFormat/>
    <w:rsid w:val="009643B7"/>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643B7"/>
    <w:rPr>
      <w:color w:val="0000FF"/>
      <w:u w:val="single"/>
    </w:rPr>
  </w:style>
  <w:style w:type="paragraph" w:styleId="NormalWeb">
    <w:name w:val="Normal (Web)"/>
    <w:basedOn w:val="Normal"/>
    <w:rsid w:val="009643B7"/>
    <w:pPr>
      <w:spacing w:before="100" w:beforeAutospacing="1" w:after="100" w:afterAutospacing="1"/>
    </w:pPr>
  </w:style>
  <w:style w:type="character" w:customStyle="1" w:styleId="toctoggle">
    <w:name w:val="toctoggle"/>
    <w:basedOn w:val="DefaultParagraphFont"/>
    <w:rsid w:val="009643B7"/>
  </w:style>
  <w:style w:type="character" w:customStyle="1" w:styleId="tocnumber">
    <w:name w:val="tocnumber"/>
    <w:basedOn w:val="DefaultParagraphFont"/>
    <w:rsid w:val="009643B7"/>
  </w:style>
  <w:style w:type="character" w:customStyle="1" w:styleId="toctext">
    <w:name w:val="toctext"/>
    <w:basedOn w:val="DefaultParagraphFont"/>
    <w:rsid w:val="009643B7"/>
  </w:style>
  <w:style w:type="character" w:customStyle="1" w:styleId="editsection">
    <w:name w:val="editsection"/>
    <w:basedOn w:val="DefaultParagraphFont"/>
    <w:rsid w:val="009643B7"/>
  </w:style>
  <w:style w:type="character" w:customStyle="1" w:styleId="mw-headline">
    <w:name w:val="mw-headline"/>
    <w:basedOn w:val="DefaultParagraphFont"/>
    <w:rsid w:val="009643B7"/>
  </w:style>
  <w:style w:type="paragraph" w:customStyle="1" w:styleId="catlinks">
    <w:name w:val="catlinks"/>
    <w:basedOn w:val="Normal"/>
    <w:rsid w:val="009643B7"/>
    <w:pPr>
      <w:spacing w:before="100" w:beforeAutospacing="1" w:after="100" w:afterAutospacing="1"/>
    </w:pPr>
  </w:style>
  <w:style w:type="paragraph" w:styleId="z-TopofForm">
    <w:name w:val="HTML Top of Form"/>
    <w:basedOn w:val="Normal"/>
    <w:next w:val="Normal"/>
    <w:hidden/>
    <w:rsid w:val="009643B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643B7"/>
    <w:pPr>
      <w:pBdr>
        <w:top w:val="single" w:sz="6" w:space="1" w:color="auto"/>
      </w:pBdr>
      <w:jc w:val="center"/>
    </w:pPr>
    <w:rPr>
      <w:rFonts w:ascii="Arial" w:hAnsi="Arial" w:cs="Arial"/>
      <w:vanish/>
      <w:sz w:val="16"/>
      <w:szCs w:val="16"/>
    </w:rPr>
  </w:style>
  <w:style w:type="paragraph" w:styleId="Footer">
    <w:name w:val="footer"/>
    <w:basedOn w:val="Normal"/>
    <w:rsid w:val="00D507EA"/>
    <w:pPr>
      <w:tabs>
        <w:tab w:val="center" w:pos="4320"/>
        <w:tab w:val="right" w:pos="8640"/>
      </w:tabs>
    </w:pPr>
  </w:style>
  <w:style w:type="character" w:styleId="PageNumber">
    <w:name w:val="page number"/>
    <w:basedOn w:val="DefaultParagraphFont"/>
    <w:rsid w:val="00D507EA"/>
  </w:style>
  <w:style w:type="paragraph" w:customStyle="1" w:styleId="copyright">
    <w:name w:val="copyright"/>
    <w:basedOn w:val="Normal"/>
    <w:rsid w:val="00C80CAF"/>
    <w:rPr>
      <w:rFonts w:ascii="Verdana" w:hAnsi="Verdana" w:cs="Arial"/>
      <w:color w:val="FFFFFF"/>
      <w:sz w:val="14"/>
      <w:szCs w:val="14"/>
    </w:rPr>
  </w:style>
  <w:style w:type="character" w:customStyle="1" w:styleId="search-text1">
    <w:name w:val="search-text1"/>
    <w:basedOn w:val="DefaultParagraphFont"/>
    <w:rsid w:val="00C80CAF"/>
    <w:rPr>
      <w:rFonts w:ascii="Arial" w:hAnsi="Arial" w:cs="Arial" w:hint="default"/>
      <w:color w:val="FFFFFF"/>
      <w:sz w:val="17"/>
      <w:szCs w:val="17"/>
      <w:shd w:val="clear" w:color="auto" w:fill="auto"/>
    </w:rPr>
  </w:style>
  <w:style w:type="character" w:customStyle="1" w:styleId="subtopic1">
    <w:name w:val="subtopic1"/>
    <w:basedOn w:val="DefaultParagraphFont"/>
    <w:rsid w:val="00C80CAF"/>
    <w:rPr>
      <w:b/>
      <w:bCs/>
      <w:color w:val="FFFFFF"/>
      <w:sz w:val="29"/>
      <w:szCs w:val="29"/>
      <w:shd w:val="clear" w:color="auto" w:fill="auto"/>
    </w:rPr>
  </w:style>
</w:styles>
</file>

<file path=word/webSettings.xml><?xml version="1.0" encoding="utf-8"?>
<w:webSettings xmlns:r="http://schemas.openxmlformats.org/officeDocument/2006/relationships" xmlns:w="http://schemas.openxmlformats.org/wordprocessingml/2006/main">
  <w:divs>
    <w:div w:id="104471410">
      <w:marLeft w:val="0"/>
      <w:marRight w:val="0"/>
      <w:marTop w:val="0"/>
      <w:marBottom w:val="0"/>
      <w:divBdr>
        <w:top w:val="none" w:sz="0" w:space="0" w:color="auto"/>
        <w:left w:val="none" w:sz="0" w:space="0" w:color="auto"/>
        <w:bottom w:val="none" w:sz="0" w:space="0" w:color="auto"/>
        <w:right w:val="none" w:sz="0" w:space="0" w:color="auto"/>
      </w:divBdr>
      <w:divsChild>
        <w:div w:id="1622422482">
          <w:marLeft w:val="2928"/>
          <w:marRight w:val="0"/>
          <w:marTop w:val="720"/>
          <w:marBottom w:val="0"/>
          <w:divBdr>
            <w:top w:val="none" w:sz="0" w:space="0" w:color="auto"/>
            <w:left w:val="none" w:sz="0" w:space="0" w:color="auto"/>
            <w:bottom w:val="none" w:sz="0" w:space="0" w:color="auto"/>
            <w:right w:val="none" w:sz="0" w:space="0" w:color="auto"/>
          </w:divBdr>
          <w:divsChild>
            <w:div w:id="806701276">
              <w:marLeft w:val="0"/>
              <w:marRight w:val="0"/>
              <w:marTop w:val="75"/>
              <w:marBottom w:val="0"/>
              <w:divBdr>
                <w:top w:val="none" w:sz="0" w:space="0" w:color="auto"/>
                <w:left w:val="none" w:sz="0" w:space="0" w:color="auto"/>
                <w:bottom w:val="none" w:sz="0" w:space="0" w:color="auto"/>
                <w:right w:val="none" w:sz="0" w:space="0" w:color="auto"/>
              </w:divBdr>
            </w:div>
            <w:div w:id="1893227055">
              <w:marLeft w:val="0"/>
              <w:marRight w:val="0"/>
              <w:marTop w:val="0"/>
              <w:marBottom w:val="0"/>
              <w:divBdr>
                <w:top w:val="none" w:sz="0" w:space="0" w:color="auto"/>
                <w:left w:val="none" w:sz="0" w:space="0" w:color="auto"/>
                <w:bottom w:val="none" w:sz="0" w:space="0" w:color="auto"/>
                <w:right w:val="none" w:sz="0" w:space="0" w:color="auto"/>
              </w:divBdr>
              <w:divsChild>
                <w:div w:id="253779659">
                  <w:marLeft w:val="0"/>
                  <w:marRight w:val="0"/>
                  <w:marTop w:val="0"/>
                  <w:marBottom w:val="0"/>
                  <w:divBdr>
                    <w:top w:val="none" w:sz="0" w:space="0" w:color="auto"/>
                    <w:left w:val="none" w:sz="0" w:space="0" w:color="auto"/>
                    <w:bottom w:val="none" w:sz="0" w:space="0" w:color="auto"/>
                    <w:right w:val="none" w:sz="0" w:space="0" w:color="auto"/>
                  </w:divBdr>
                </w:div>
                <w:div w:id="791284696">
                  <w:marLeft w:val="0"/>
                  <w:marRight w:val="0"/>
                  <w:marTop w:val="0"/>
                  <w:marBottom w:val="0"/>
                  <w:divBdr>
                    <w:top w:val="none" w:sz="0" w:space="0" w:color="auto"/>
                    <w:left w:val="none" w:sz="0" w:space="0" w:color="auto"/>
                    <w:bottom w:val="none" w:sz="0" w:space="0" w:color="auto"/>
                    <w:right w:val="none" w:sz="0" w:space="0" w:color="auto"/>
                  </w:divBdr>
                </w:div>
                <w:div w:id="1061443857">
                  <w:marLeft w:val="0"/>
                  <w:marRight w:val="0"/>
                  <w:marTop w:val="0"/>
                  <w:marBottom w:val="0"/>
                  <w:divBdr>
                    <w:top w:val="none" w:sz="0" w:space="0" w:color="auto"/>
                    <w:left w:val="none" w:sz="0" w:space="0" w:color="auto"/>
                    <w:bottom w:val="none" w:sz="0" w:space="0" w:color="auto"/>
                    <w:right w:val="none" w:sz="0" w:space="0" w:color="auto"/>
                  </w:divBdr>
                </w:div>
                <w:div w:id="15958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674">
      <w:marLeft w:val="0"/>
      <w:marRight w:val="0"/>
      <w:marTop w:val="0"/>
      <w:marBottom w:val="0"/>
      <w:divBdr>
        <w:top w:val="none" w:sz="0" w:space="0" w:color="auto"/>
        <w:left w:val="none" w:sz="0" w:space="0" w:color="auto"/>
        <w:bottom w:val="none" w:sz="0" w:space="0" w:color="auto"/>
        <w:right w:val="none" w:sz="0" w:space="0" w:color="auto"/>
      </w:divBdr>
      <w:divsChild>
        <w:div w:id="803275065">
          <w:marLeft w:val="0"/>
          <w:marRight w:val="0"/>
          <w:marTop w:val="0"/>
          <w:marBottom w:val="0"/>
          <w:divBdr>
            <w:top w:val="none" w:sz="0" w:space="0" w:color="auto"/>
            <w:left w:val="none" w:sz="0" w:space="0" w:color="auto"/>
            <w:bottom w:val="none" w:sz="0" w:space="0" w:color="auto"/>
            <w:right w:val="none" w:sz="0" w:space="0" w:color="auto"/>
          </w:divBdr>
        </w:div>
        <w:div w:id="2057001416">
          <w:marLeft w:val="0"/>
          <w:marRight w:val="0"/>
          <w:marTop w:val="0"/>
          <w:marBottom w:val="0"/>
          <w:divBdr>
            <w:top w:val="none" w:sz="0" w:space="0" w:color="auto"/>
            <w:left w:val="none" w:sz="0" w:space="0" w:color="auto"/>
            <w:bottom w:val="none" w:sz="0" w:space="0" w:color="auto"/>
            <w:right w:val="none" w:sz="0" w:space="0" w:color="auto"/>
          </w:divBdr>
        </w:div>
      </w:divsChild>
    </w:div>
    <w:div w:id="503975531">
      <w:marLeft w:val="0"/>
      <w:marRight w:val="0"/>
      <w:marTop w:val="0"/>
      <w:marBottom w:val="0"/>
      <w:divBdr>
        <w:top w:val="none" w:sz="0" w:space="0" w:color="auto"/>
        <w:left w:val="none" w:sz="0" w:space="0" w:color="auto"/>
        <w:bottom w:val="none" w:sz="0" w:space="0" w:color="auto"/>
        <w:right w:val="none" w:sz="0" w:space="0" w:color="auto"/>
      </w:divBdr>
      <w:divsChild>
        <w:div w:id="226426961">
          <w:marLeft w:val="0"/>
          <w:marRight w:val="0"/>
          <w:marTop w:val="0"/>
          <w:marBottom w:val="0"/>
          <w:divBdr>
            <w:top w:val="none" w:sz="0" w:space="0" w:color="auto"/>
            <w:left w:val="none" w:sz="0" w:space="0" w:color="auto"/>
            <w:bottom w:val="none" w:sz="0" w:space="0" w:color="auto"/>
            <w:right w:val="none" w:sz="0" w:space="0" w:color="auto"/>
          </w:divBdr>
          <w:divsChild>
            <w:div w:id="1899128039">
              <w:marLeft w:val="0"/>
              <w:marRight w:val="0"/>
              <w:marTop w:val="0"/>
              <w:marBottom w:val="0"/>
              <w:divBdr>
                <w:top w:val="none" w:sz="0" w:space="0" w:color="auto"/>
                <w:left w:val="none" w:sz="0" w:space="0" w:color="auto"/>
                <w:bottom w:val="none" w:sz="0" w:space="0" w:color="auto"/>
                <w:right w:val="none" w:sz="0" w:space="0" w:color="auto"/>
              </w:divBdr>
              <w:divsChild>
                <w:div w:id="7765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442">
          <w:marLeft w:val="0"/>
          <w:marRight w:val="0"/>
          <w:marTop w:val="0"/>
          <w:marBottom w:val="0"/>
          <w:divBdr>
            <w:top w:val="none" w:sz="0" w:space="0" w:color="auto"/>
            <w:left w:val="none" w:sz="0" w:space="0" w:color="auto"/>
            <w:bottom w:val="none" w:sz="0" w:space="0" w:color="auto"/>
            <w:right w:val="none" w:sz="0" w:space="0" w:color="auto"/>
          </w:divBdr>
          <w:divsChild>
            <w:div w:id="1652322276">
              <w:marLeft w:val="0"/>
              <w:marRight w:val="0"/>
              <w:marTop w:val="0"/>
              <w:marBottom w:val="0"/>
              <w:divBdr>
                <w:top w:val="none" w:sz="0" w:space="0" w:color="auto"/>
                <w:left w:val="none" w:sz="0" w:space="0" w:color="auto"/>
                <w:bottom w:val="none" w:sz="0" w:space="0" w:color="auto"/>
                <w:right w:val="none" w:sz="0" w:space="0" w:color="auto"/>
              </w:divBdr>
            </w:div>
          </w:divsChild>
        </w:div>
        <w:div w:id="580261594">
          <w:marLeft w:val="0"/>
          <w:marRight w:val="0"/>
          <w:marTop w:val="0"/>
          <w:marBottom w:val="0"/>
          <w:divBdr>
            <w:top w:val="none" w:sz="0" w:space="0" w:color="auto"/>
            <w:left w:val="none" w:sz="0" w:space="0" w:color="auto"/>
            <w:bottom w:val="none" w:sz="0" w:space="0" w:color="auto"/>
            <w:right w:val="none" w:sz="0" w:space="0" w:color="auto"/>
          </w:divBdr>
          <w:divsChild>
            <w:div w:id="798568379">
              <w:marLeft w:val="0"/>
              <w:marRight w:val="0"/>
              <w:marTop w:val="0"/>
              <w:marBottom w:val="0"/>
              <w:divBdr>
                <w:top w:val="none" w:sz="0" w:space="0" w:color="auto"/>
                <w:left w:val="none" w:sz="0" w:space="0" w:color="auto"/>
                <w:bottom w:val="none" w:sz="0" w:space="0" w:color="auto"/>
                <w:right w:val="none" w:sz="0" w:space="0" w:color="auto"/>
              </w:divBdr>
            </w:div>
          </w:divsChild>
        </w:div>
        <w:div w:id="967396350">
          <w:marLeft w:val="0"/>
          <w:marRight w:val="0"/>
          <w:marTop w:val="0"/>
          <w:marBottom w:val="0"/>
          <w:divBdr>
            <w:top w:val="none" w:sz="0" w:space="0" w:color="auto"/>
            <w:left w:val="none" w:sz="0" w:space="0" w:color="auto"/>
            <w:bottom w:val="none" w:sz="0" w:space="0" w:color="auto"/>
            <w:right w:val="none" w:sz="0" w:space="0" w:color="auto"/>
          </w:divBdr>
        </w:div>
        <w:div w:id="1264147963">
          <w:marLeft w:val="0"/>
          <w:marRight w:val="0"/>
          <w:marTop w:val="0"/>
          <w:marBottom w:val="0"/>
          <w:divBdr>
            <w:top w:val="none" w:sz="0" w:space="0" w:color="auto"/>
            <w:left w:val="none" w:sz="0" w:space="0" w:color="auto"/>
            <w:bottom w:val="none" w:sz="0" w:space="0" w:color="auto"/>
            <w:right w:val="none" w:sz="0" w:space="0" w:color="auto"/>
          </w:divBdr>
          <w:divsChild>
            <w:div w:id="1467353424">
              <w:marLeft w:val="0"/>
              <w:marRight w:val="0"/>
              <w:marTop w:val="0"/>
              <w:marBottom w:val="0"/>
              <w:divBdr>
                <w:top w:val="none" w:sz="0" w:space="0" w:color="auto"/>
                <w:left w:val="none" w:sz="0" w:space="0" w:color="auto"/>
                <w:bottom w:val="none" w:sz="0" w:space="0" w:color="auto"/>
                <w:right w:val="none" w:sz="0" w:space="0" w:color="auto"/>
              </w:divBdr>
            </w:div>
          </w:divsChild>
        </w:div>
        <w:div w:id="1661763267">
          <w:marLeft w:val="0"/>
          <w:marRight w:val="0"/>
          <w:marTop w:val="0"/>
          <w:marBottom w:val="0"/>
          <w:divBdr>
            <w:top w:val="none" w:sz="0" w:space="0" w:color="auto"/>
            <w:left w:val="none" w:sz="0" w:space="0" w:color="auto"/>
            <w:bottom w:val="none" w:sz="0" w:space="0" w:color="auto"/>
            <w:right w:val="none" w:sz="0" w:space="0" w:color="auto"/>
          </w:divBdr>
          <w:divsChild>
            <w:div w:id="383064041">
              <w:marLeft w:val="0"/>
              <w:marRight w:val="0"/>
              <w:marTop w:val="0"/>
              <w:marBottom w:val="0"/>
              <w:divBdr>
                <w:top w:val="none" w:sz="0" w:space="0" w:color="auto"/>
                <w:left w:val="none" w:sz="0" w:space="0" w:color="auto"/>
                <w:bottom w:val="none" w:sz="0" w:space="0" w:color="auto"/>
                <w:right w:val="none" w:sz="0" w:space="0" w:color="auto"/>
              </w:divBdr>
            </w:div>
          </w:divsChild>
        </w:div>
        <w:div w:id="1791626885">
          <w:marLeft w:val="0"/>
          <w:marRight w:val="0"/>
          <w:marTop w:val="0"/>
          <w:marBottom w:val="0"/>
          <w:divBdr>
            <w:top w:val="none" w:sz="0" w:space="0" w:color="auto"/>
            <w:left w:val="none" w:sz="0" w:space="0" w:color="auto"/>
            <w:bottom w:val="none" w:sz="0" w:space="0" w:color="auto"/>
            <w:right w:val="none" w:sz="0" w:space="0" w:color="auto"/>
          </w:divBdr>
        </w:div>
      </w:divsChild>
    </w:div>
    <w:div w:id="1238444088">
      <w:bodyDiv w:val="1"/>
      <w:marLeft w:val="0"/>
      <w:marRight w:val="0"/>
      <w:marTop w:val="0"/>
      <w:marBottom w:val="0"/>
      <w:divBdr>
        <w:top w:val="none" w:sz="0" w:space="0" w:color="auto"/>
        <w:left w:val="none" w:sz="0" w:space="0" w:color="auto"/>
        <w:bottom w:val="none" w:sz="0" w:space="0" w:color="auto"/>
        <w:right w:val="none" w:sz="0" w:space="0" w:color="auto"/>
      </w:divBdr>
      <w:divsChild>
        <w:div w:id="20086681">
          <w:marLeft w:val="75"/>
          <w:marRight w:val="0"/>
          <w:marTop w:val="0"/>
          <w:marBottom w:val="30"/>
          <w:divBdr>
            <w:top w:val="single" w:sz="12" w:space="2" w:color="FFFFFF"/>
            <w:left w:val="dotted" w:sz="6" w:space="0" w:color="CCCCCC"/>
            <w:bottom w:val="single" w:sz="12" w:space="2" w:color="003869"/>
            <w:right w:val="dotted" w:sz="6" w:space="0" w:color="CCCCCC"/>
          </w:divBdr>
        </w:div>
        <w:div w:id="74477734">
          <w:marLeft w:val="0"/>
          <w:marRight w:val="0"/>
          <w:marTop w:val="0"/>
          <w:marBottom w:val="15"/>
          <w:divBdr>
            <w:top w:val="none" w:sz="0" w:space="0" w:color="auto"/>
            <w:left w:val="none" w:sz="0" w:space="0" w:color="auto"/>
            <w:bottom w:val="none" w:sz="0" w:space="0" w:color="auto"/>
            <w:right w:val="none" w:sz="0" w:space="0" w:color="auto"/>
          </w:divBdr>
        </w:div>
        <w:div w:id="335227097">
          <w:marLeft w:val="225"/>
          <w:marRight w:val="0"/>
          <w:marTop w:val="0"/>
          <w:marBottom w:val="0"/>
          <w:divBdr>
            <w:top w:val="none" w:sz="0" w:space="0" w:color="auto"/>
            <w:left w:val="none" w:sz="0" w:space="0" w:color="auto"/>
            <w:bottom w:val="none" w:sz="0" w:space="0" w:color="auto"/>
            <w:right w:val="none" w:sz="0" w:space="0" w:color="auto"/>
          </w:divBdr>
          <w:divsChild>
            <w:div w:id="899026135">
              <w:marLeft w:val="0"/>
              <w:marRight w:val="0"/>
              <w:marTop w:val="0"/>
              <w:marBottom w:val="0"/>
              <w:divBdr>
                <w:top w:val="dotted" w:sz="6" w:space="5" w:color="FF0000"/>
                <w:left w:val="dotted" w:sz="6" w:space="8" w:color="FF0000"/>
                <w:bottom w:val="none" w:sz="0" w:space="0" w:color="auto"/>
                <w:right w:val="dotted" w:sz="6" w:space="8" w:color="FF0000"/>
              </w:divBdr>
            </w:div>
          </w:divsChild>
        </w:div>
        <w:div w:id="520165993">
          <w:marLeft w:val="0"/>
          <w:marRight w:val="0"/>
          <w:marTop w:val="15"/>
          <w:marBottom w:val="0"/>
          <w:divBdr>
            <w:top w:val="none" w:sz="0" w:space="0" w:color="auto"/>
            <w:left w:val="none" w:sz="0" w:space="0" w:color="auto"/>
            <w:bottom w:val="none" w:sz="0" w:space="0" w:color="auto"/>
            <w:right w:val="none" w:sz="0" w:space="0" w:color="auto"/>
          </w:divBdr>
        </w:div>
        <w:div w:id="1092974307">
          <w:marLeft w:val="0"/>
          <w:marRight w:val="0"/>
          <w:marTop w:val="0"/>
          <w:marBottom w:val="0"/>
          <w:divBdr>
            <w:top w:val="none" w:sz="0" w:space="0" w:color="auto"/>
            <w:left w:val="none" w:sz="0" w:space="0" w:color="auto"/>
            <w:bottom w:val="single" w:sz="6" w:space="0" w:color="F9F9F9"/>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nerally_Accepted_Accounting_Principles" TargetMode="External"/><Relationship Id="rId18" Type="http://schemas.openxmlformats.org/officeDocument/2006/relationships/hyperlink" Target="http://en.wikipedia.org/wiki/Generally_Accepted_Accounting_Principles" TargetMode="External"/><Relationship Id="rId26" Type="http://schemas.openxmlformats.org/officeDocument/2006/relationships/hyperlink" Target="http://en.wikipedia.org/wiki/Standard_accounting_practice" TargetMode="External"/><Relationship Id="rId39" Type="http://schemas.openxmlformats.org/officeDocument/2006/relationships/hyperlink" Target="http://en.wikipedia.org/wiki/Governmental_Accounting_Standards_Board" TargetMode="External"/><Relationship Id="rId21" Type="http://schemas.openxmlformats.org/officeDocument/2006/relationships/hyperlink" Target="http://en.wikipedia.org/wiki/Depreciation" TargetMode="External"/><Relationship Id="rId34" Type="http://schemas.openxmlformats.org/officeDocument/2006/relationships/hyperlink" Target="http://en.wikipedia.org/wiki/Portal:List_of_portals" TargetMode="External"/><Relationship Id="rId42" Type="http://schemas.openxmlformats.org/officeDocument/2006/relationships/hyperlink" Target="http://en.wikipedia.org/wiki/Law" TargetMode="External"/><Relationship Id="rId47" Type="http://schemas.openxmlformats.org/officeDocument/2006/relationships/hyperlink" Target="http://en.wikipedia.org/wiki/US_generally_accepted_accounting_principles" TargetMode="External"/><Relationship Id="rId50" Type="http://schemas.openxmlformats.org/officeDocument/2006/relationships/hyperlink" Target="http://en.wikipedia.org/wiki/US_generally_accepted_accounting_principles" TargetMode="External"/><Relationship Id="rId55" Type="http://schemas.openxmlformats.org/officeDocument/2006/relationships/hyperlink" Target="http://en.wikipedia.org/wiki/Currency" TargetMode="External"/><Relationship Id="rId63" Type="http://schemas.openxmlformats.org/officeDocument/2006/relationships/hyperlink" Target="http://en.wikipedia.org/wiki/Expense" TargetMode="External"/><Relationship Id="rId68" Type="http://schemas.openxmlformats.org/officeDocument/2006/relationships/hyperlink" Target="http://en.wikipedia.org/wiki/AICPA" TargetMode="External"/><Relationship Id="rId76" Type="http://schemas.openxmlformats.org/officeDocument/2006/relationships/hyperlink" Target="http://en.wikipedia.org/wiki/Governmental_Accounting_Standards_Board" TargetMode="External"/><Relationship Id="rId84" Type="http://schemas.openxmlformats.org/officeDocument/2006/relationships/hyperlink" Target="http://www.accountingcoach.com/accounting-terms/accounting-dictionary/accounting-terms-C.html" TargetMode="External"/><Relationship Id="rId89" Type="http://schemas.openxmlformats.org/officeDocument/2006/relationships/theme" Target="theme/theme1.xml"/><Relationship Id="rId7" Type="http://schemas.openxmlformats.org/officeDocument/2006/relationships/hyperlink" Target="http://en.wikipedia.org/wiki/Financial_accounting" TargetMode="External"/><Relationship Id="rId71" Type="http://schemas.openxmlformats.org/officeDocument/2006/relationships/hyperlink" Target="http://en.wikipedia.org/wiki/List_of_APB_Opinions" TargetMode="External"/><Relationship Id="rId2" Type="http://schemas.openxmlformats.org/officeDocument/2006/relationships/styles" Target="styles.xml"/><Relationship Id="rId16" Type="http://schemas.openxmlformats.org/officeDocument/2006/relationships/hyperlink" Target="http://en.wikipedia.org/wiki/Generally_Accepted_Accounting_Principles" TargetMode="External"/><Relationship Id="rId29" Type="http://schemas.openxmlformats.org/officeDocument/2006/relationships/hyperlink" Target="http://en.wikipedia.org/wiki/International_Financial_Reporting_Standards" TargetMode="External"/><Relationship Id="rId11" Type="http://schemas.openxmlformats.org/officeDocument/2006/relationships/hyperlink" Target="http://en.wikipedia.org/wiki/Generally_Accepted_Accounting_Principles" TargetMode="External"/><Relationship Id="rId24" Type="http://schemas.openxmlformats.org/officeDocument/2006/relationships/hyperlink" Target="http://en.wikipedia.org/wiki/Financial_Accounting_Standards_Board" TargetMode="External"/><Relationship Id="rId32" Type="http://schemas.openxmlformats.org/officeDocument/2006/relationships/hyperlink" Target="http://en.wikipedia.org/wiki/Portal:Economics" TargetMode="External"/><Relationship Id="rId37" Type="http://schemas.openxmlformats.org/officeDocument/2006/relationships/hyperlink" Target="http://en.wikipedia.org/wiki/Companies" TargetMode="External"/><Relationship Id="rId40" Type="http://schemas.openxmlformats.org/officeDocument/2006/relationships/hyperlink" Target="http://en.wikipedia.org/wiki/Common_law" TargetMode="External"/><Relationship Id="rId45" Type="http://schemas.openxmlformats.org/officeDocument/2006/relationships/hyperlink" Target="http://en.wikipedia.org/wiki/US_generally_accepted_accounting_principles" TargetMode="External"/><Relationship Id="rId53" Type="http://schemas.openxmlformats.org/officeDocument/2006/relationships/hyperlink" Target="http://en.wikipedia.org/wiki/Partnership" TargetMode="External"/><Relationship Id="rId58" Type="http://schemas.openxmlformats.org/officeDocument/2006/relationships/hyperlink" Target="http://en.wikipedia.org/wiki/Fair_market_value" TargetMode="External"/><Relationship Id="rId66" Type="http://schemas.openxmlformats.org/officeDocument/2006/relationships/hyperlink" Target="http://en.wikipedia.org/wiki/United_States_Securities_and_Exchange_Commission" TargetMode="External"/><Relationship Id="rId74" Type="http://schemas.openxmlformats.org/officeDocument/2006/relationships/hyperlink" Target="http://en.wikipedia.org/wiki/List_of_FASB_Statements_of_Financial_Accounting_Concepts" TargetMode="External"/><Relationship Id="rId79" Type="http://schemas.openxmlformats.org/officeDocument/2006/relationships/hyperlink" Target="http://www.accountingcoach.com/accounting-terms/accounting-dictionary/accounting-terms-F.html" TargetMode="External"/><Relationship Id="rId87"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en.wikipedia.org/wiki/Accrual_basis_accounting" TargetMode="External"/><Relationship Id="rId82" Type="http://schemas.openxmlformats.org/officeDocument/2006/relationships/hyperlink" Target="http://www.accountingcoach.com/accounting-terms/accounting-dictionary/accounting-terms-C.html" TargetMode="External"/><Relationship Id="rId19" Type="http://schemas.openxmlformats.org/officeDocument/2006/relationships/hyperlink" Target="http://en.wikipedia.org/wiki/Generally_Accepted_Accounting_Principles" TargetMode="External"/><Relationship Id="rId4" Type="http://schemas.openxmlformats.org/officeDocument/2006/relationships/webSettings" Target="webSettings.xml"/><Relationship Id="rId9" Type="http://schemas.openxmlformats.org/officeDocument/2006/relationships/hyperlink" Target="http://en.wikipedia.org/wiki/Generally_Accepted_Accounting_Principles" TargetMode="External"/><Relationship Id="rId14" Type="http://schemas.openxmlformats.org/officeDocument/2006/relationships/hyperlink" Target="http://en.wikipedia.org/wiki/Generally_Accepted_Accounting_Principles" TargetMode="External"/><Relationship Id="rId22" Type="http://schemas.openxmlformats.org/officeDocument/2006/relationships/hyperlink" Target="http://en.wikipedia.org/wiki/United_States" TargetMode="External"/><Relationship Id="rId27" Type="http://schemas.openxmlformats.org/officeDocument/2006/relationships/hyperlink" Target="http://en.wikipedia.org/w/index.php?title=Special:Booksources&amp;isbn=0130516562" TargetMode="External"/><Relationship Id="rId30" Type="http://schemas.openxmlformats.org/officeDocument/2006/relationships/hyperlink" Target="http://en.wikipedia.org/wiki/International_Accounting_Standards_Committee" TargetMode="External"/><Relationship Id="rId35" Type="http://schemas.openxmlformats.org/officeDocument/2006/relationships/hyperlink" Target="http://en.wikipedia.org/wiki/Generally_Accepted_Accounting_Principles" TargetMode="External"/><Relationship Id="rId43" Type="http://schemas.openxmlformats.org/officeDocument/2006/relationships/hyperlink" Target="http://en.wikipedia.org/wiki/U.S._Securities_and_Exchange_Commission" TargetMode="External"/><Relationship Id="rId48" Type="http://schemas.openxmlformats.org/officeDocument/2006/relationships/hyperlink" Target="http://en.wikipedia.org/wiki/US_generally_accepted_accounting_principles" TargetMode="External"/><Relationship Id="rId56" Type="http://schemas.openxmlformats.org/officeDocument/2006/relationships/hyperlink" Target="http://en.wikipedia.org/wiki/FASB" TargetMode="External"/><Relationship Id="rId64" Type="http://schemas.openxmlformats.org/officeDocument/2006/relationships/hyperlink" Target="http://en.wikipedia.org/wiki/Revenue" TargetMode="External"/><Relationship Id="rId69" Type="http://schemas.openxmlformats.org/officeDocument/2006/relationships/hyperlink" Target="http://en.wikipedia.org/wiki/FASB" TargetMode="External"/><Relationship Id="rId77" Type="http://schemas.openxmlformats.org/officeDocument/2006/relationships/hyperlink" Target="http://www.accountingcoach.com/accounting-terms/accounting-dictionary/accounting-terms-F.html" TargetMode="External"/><Relationship Id="rId8" Type="http://schemas.openxmlformats.org/officeDocument/2006/relationships/hyperlink" Target="http://en.wikipedia.org/wiki/Financial_statements" TargetMode="External"/><Relationship Id="rId51" Type="http://schemas.openxmlformats.org/officeDocument/2006/relationships/hyperlink" Target="http://en.wikipedia.org/wiki/US_generally_accepted_accounting_principles" TargetMode="External"/><Relationship Id="rId72" Type="http://schemas.openxmlformats.org/officeDocument/2006/relationships/hyperlink" Target="http://en.wikipedia.org/wiki/FASB" TargetMode="External"/><Relationship Id="rId80" Type="http://schemas.openxmlformats.org/officeDocument/2006/relationships/hyperlink" Target="http://www.accountingcoach.com/accounting-terms/accounting-dictionary/accounting-terms-A.html" TargetMode="External"/><Relationship Id="rId85" Type="http://schemas.openxmlformats.org/officeDocument/2006/relationships/hyperlink" Target="http://www.3dstats.com" TargetMode="External"/><Relationship Id="rId3" Type="http://schemas.openxmlformats.org/officeDocument/2006/relationships/settings" Target="settings.xml"/><Relationship Id="rId12" Type="http://schemas.openxmlformats.org/officeDocument/2006/relationships/hyperlink" Target="http://en.wikipedia.org/wiki/Generally_Accepted_Accounting_Principles" TargetMode="External"/><Relationship Id="rId17" Type="http://schemas.openxmlformats.org/officeDocument/2006/relationships/hyperlink" Target="http://en.wikipedia.org/wiki/Generally_Accepted_Accounting_Principles" TargetMode="External"/><Relationship Id="rId25" Type="http://schemas.openxmlformats.org/officeDocument/2006/relationships/hyperlink" Target="http://en.wikipedia.org/wiki/Accounting_Principles_Board" TargetMode="External"/><Relationship Id="rId33" Type="http://schemas.openxmlformats.org/officeDocument/2006/relationships/hyperlink" Target="http://en.wikipedia.org/wiki/Wikipedia:WikiProject" TargetMode="External"/><Relationship Id="rId38" Type="http://schemas.openxmlformats.org/officeDocument/2006/relationships/hyperlink" Target="http://en.wikipedia.org/wiki/United_States" TargetMode="External"/><Relationship Id="rId46" Type="http://schemas.openxmlformats.org/officeDocument/2006/relationships/hyperlink" Target="http://en.wikipedia.org/wiki/US_generally_accepted_accounting_principles" TargetMode="External"/><Relationship Id="rId59" Type="http://schemas.openxmlformats.org/officeDocument/2006/relationships/hyperlink" Target="http://en.wikipedia.org/wiki/Realize" TargetMode="External"/><Relationship Id="rId67" Type="http://schemas.openxmlformats.org/officeDocument/2006/relationships/hyperlink" Target="http://en.wikipedia.org/wiki/Great_Depression" TargetMode="External"/><Relationship Id="rId20" Type="http://schemas.openxmlformats.org/officeDocument/2006/relationships/hyperlink" Target="http://en.wikipedia.org/wiki/CPA" TargetMode="External"/><Relationship Id="rId41" Type="http://schemas.openxmlformats.org/officeDocument/2006/relationships/hyperlink" Target="http://en.wikipedia.org/wiki/Government" TargetMode="External"/><Relationship Id="rId54" Type="http://schemas.openxmlformats.org/officeDocument/2006/relationships/hyperlink" Target="http://en.wikipedia.org/wiki/Sole_proprietorship" TargetMode="External"/><Relationship Id="rId62" Type="http://schemas.openxmlformats.org/officeDocument/2006/relationships/hyperlink" Target="http://en.wikipedia.org/wiki/Matching_principle" TargetMode="External"/><Relationship Id="rId70" Type="http://schemas.openxmlformats.org/officeDocument/2006/relationships/hyperlink" Target="http://en.wikipedia.org/wiki/American_Institute_of_Certified_Public_Accountants" TargetMode="External"/><Relationship Id="rId75" Type="http://schemas.openxmlformats.org/officeDocument/2006/relationships/hyperlink" Target="http://en.wikipedia.org/wiki/List_of_FASB_Interpretations" TargetMode="External"/><Relationship Id="rId83" Type="http://schemas.openxmlformats.org/officeDocument/2006/relationships/hyperlink" Target="http://www.accountingcoach.com/accounting-terms/accounting-dictionary/accounting-terms-R.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Generally_Accepted_Accounting_Principles" TargetMode="External"/><Relationship Id="rId23" Type="http://schemas.openxmlformats.org/officeDocument/2006/relationships/hyperlink" Target="http://en.wikipedia.org/wiki/American_Institute_of_Certified_Public_Accountants" TargetMode="External"/><Relationship Id="rId28" Type="http://schemas.openxmlformats.org/officeDocument/2006/relationships/hyperlink" Target="http://en.wikipedia.org/wiki/Globalisation" TargetMode="External"/><Relationship Id="rId36" Type="http://schemas.openxmlformats.org/officeDocument/2006/relationships/hyperlink" Target="http://en.wikipedia.org/wiki/Financial_statements" TargetMode="External"/><Relationship Id="rId49" Type="http://schemas.openxmlformats.org/officeDocument/2006/relationships/hyperlink" Target="http://en.wikipedia.org/wiki/US_generally_accepted_accounting_principles" TargetMode="External"/><Relationship Id="rId57" Type="http://schemas.openxmlformats.org/officeDocument/2006/relationships/hyperlink" Target="http://en.wikipedia.org/wiki/US_Dollar" TargetMode="External"/><Relationship Id="rId10" Type="http://schemas.openxmlformats.org/officeDocument/2006/relationships/hyperlink" Target="http://en.wikipedia.org/wiki/Generally_Accepted_Accounting_Principles" TargetMode="External"/><Relationship Id="rId31" Type="http://schemas.openxmlformats.org/officeDocument/2006/relationships/hyperlink" Target="http://en.wikipedia.org/wiki/Wikipedia:WikiProject_Economics" TargetMode="External"/><Relationship Id="rId44" Type="http://schemas.openxmlformats.org/officeDocument/2006/relationships/hyperlink" Target="http://en.wikipedia.org/wiki/International_Financial_Reporting_Standards" TargetMode="External"/><Relationship Id="rId52" Type="http://schemas.openxmlformats.org/officeDocument/2006/relationships/hyperlink" Target="http://en.wikipedia.org/wiki/US_generally_accepted_accounting_principles" TargetMode="External"/><Relationship Id="rId60" Type="http://schemas.openxmlformats.org/officeDocument/2006/relationships/hyperlink" Target="http://en.wikipedia.org/wiki/Earn" TargetMode="External"/><Relationship Id="rId65" Type="http://schemas.openxmlformats.org/officeDocument/2006/relationships/hyperlink" Target="http://en.wikipedia.org/wiki/Materiality" TargetMode="External"/><Relationship Id="rId73" Type="http://schemas.openxmlformats.org/officeDocument/2006/relationships/hyperlink" Target="http://en.wikipedia.org/wiki/Financial_Accounting_Standards_Board" TargetMode="External"/><Relationship Id="rId78" Type="http://schemas.openxmlformats.org/officeDocument/2006/relationships/hyperlink" Target="http://www.accountingcoach.com/accounting-terms/accounting-dictionary/accounting-terms-G.html" TargetMode="External"/><Relationship Id="rId81" Type="http://schemas.openxmlformats.org/officeDocument/2006/relationships/hyperlink" Target="http://www.accountingcoach.com/accounting-terms/accounting-dictionary/accounting-terms-A.html"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5303</Words>
  <Characters>30228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Generally Accepted Accounting Principles</vt:lpstr>
    </vt:vector>
  </TitlesOfParts>
  <Company/>
  <LinksUpToDate>false</LinksUpToDate>
  <CharactersWithSpaces>35461</CharactersWithSpaces>
  <SharedDoc>false</SharedDoc>
  <HLinks>
    <vt:vector size="474" baseType="variant">
      <vt:variant>
        <vt:i4>7798901</vt:i4>
      </vt:variant>
      <vt:variant>
        <vt:i4>234</vt:i4>
      </vt:variant>
      <vt:variant>
        <vt:i4>0</vt:i4>
      </vt:variant>
      <vt:variant>
        <vt:i4>5</vt:i4>
      </vt:variant>
      <vt:variant>
        <vt:lpwstr>http://www.3dstats.com/</vt:lpwstr>
      </vt:variant>
      <vt:variant>
        <vt:lpwstr/>
      </vt:variant>
      <vt:variant>
        <vt:i4>917522</vt:i4>
      </vt:variant>
      <vt:variant>
        <vt:i4>231</vt:i4>
      </vt:variant>
      <vt:variant>
        <vt:i4>0</vt:i4>
      </vt:variant>
      <vt:variant>
        <vt:i4>5</vt:i4>
      </vt:variant>
      <vt:variant>
        <vt:lpwstr>http://www.accountingcoach.com/accounting-terms/accounting-dictionary/accounting-terms-C.html</vt:lpwstr>
      </vt:variant>
      <vt:variant>
        <vt:lpwstr>cash receipt</vt:lpwstr>
      </vt:variant>
      <vt:variant>
        <vt:i4>1835101</vt:i4>
      </vt:variant>
      <vt:variant>
        <vt:i4>228</vt:i4>
      </vt:variant>
      <vt:variant>
        <vt:i4>0</vt:i4>
      </vt:variant>
      <vt:variant>
        <vt:i4>5</vt:i4>
      </vt:variant>
      <vt:variant>
        <vt:lpwstr>http://www.accountingcoach.com/accounting-terms/accounting-dictionary/accounting-terms-R.html</vt:lpwstr>
      </vt:variant>
      <vt:variant>
        <vt:lpwstr>revenues</vt:lpwstr>
      </vt:variant>
      <vt:variant>
        <vt:i4>4390977</vt:i4>
      </vt:variant>
      <vt:variant>
        <vt:i4>225</vt:i4>
      </vt:variant>
      <vt:variant>
        <vt:i4>0</vt:i4>
      </vt:variant>
      <vt:variant>
        <vt:i4>5</vt:i4>
      </vt:variant>
      <vt:variant>
        <vt:lpwstr>http://www.accountingcoach.com/accounting-terms/accounting-dictionary/accounting-terms-C.html</vt:lpwstr>
      </vt:variant>
      <vt:variant>
        <vt:lpwstr>cash basis of accounting</vt:lpwstr>
      </vt:variant>
      <vt:variant>
        <vt:i4>7995503</vt:i4>
      </vt:variant>
      <vt:variant>
        <vt:i4>222</vt:i4>
      </vt:variant>
      <vt:variant>
        <vt:i4>0</vt:i4>
      </vt:variant>
      <vt:variant>
        <vt:i4>5</vt:i4>
      </vt:variant>
      <vt:variant>
        <vt:lpwstr>http://www.accountingcoach.com/accounting-terms/accounting-dictionary/accounting-terms-A.html</vt:lpwstr>
      </vt:variant>
      <vt:variant>
        <vt:lpwstr>accrual basis of accounting</vt:lpwstr>
      </vt:variant>
      <vt:variant>
        <vt:i4>7995503</vt:i4>
      </vt:variant>
      <vt:variant>
        <vt:i4>219</vt:i4>
      </vt:variant>
      <vt:variant>
        <vt:i4>0</vt:i4>
      </vt:variant>
      <vt:variant>
        <vt:i4>5</vt:i4>
      </vt:variant>
      <vt:variant>
        <vt:lpwstr>http://www.accountingcoach.com/accounting-terms/accounting-dictionary/accounting-terms-A.html</vt:lpwstr>
      </vt:variant>
      <vt:variant>
        <vt:lpwstr>accrual basis of accounting</vt:lpwstr>
      </vt:variant>
      <vt:variant>
        <vt:i4>5505111</vt:i4>
      </vt:variant>
      <vt:variant>
        <vt:i4>216</vt:i4>
      </vt:variant>
      <vt:variant>
        <vt:i4>0</vt:i4>
      </vt:variant>
      <vt:variant>
        <vt:i4>5</vt:i4>
      </vt:variant>
      <vt:variant>
        <vt:lpwstr>http://www.accountingcoach.com/accounting-terms/accounting-dictionary/accounting-terms-F.html</vt:lpwstr>
      </vt:variant>
      <vt:variant>
        <vt:lpwstr>financial statements</vt:lpwstr>
      </vt:variant>
      <vt:variant>
        <vt:i4>2752558</vt:i4>
      </vt:variant>
      <vt:variant>
        <vt:i4>213</vt:i4>
      </vt:variant>
      <vt:variant>
        <vt:i4>0</vt:i4>
      </vt:variant>
      <vt:variant>
        <vt:i4>5</vt:i4>
      </vt:variant>
      <vt:variant>
        <vt:lpwstr>http://www.accountingcoach.com/accounting-terms/accounting-dictionary/accounting-terms-G.html</vt:lpwstr>
      </vt:variant>
      <vt:variant>
        <vt:lpwstr>generally accepted accounting principles (GAAP)</vt:lpwstr>
      </vt:variant>
      <vt:variant>
        <vt:i4>5767262</vt:i4>
      </vt:variant>
      <vt:variant>
        <vt:i4>210</vt:i4>
      </vt:variant>
      <vt:variant>
        <vt:i4>0</vt:i4>
      </vt:variant>
      <vt:variant>
        <vt:i4>5</vt:i4>
      </vt:variant>
      <vt:variant>
        <vt:lpwstr>http://www.accountingcoach.com/accounting-terms/accounting-dictionary/accounting-terms-F.html</vt:lpwstr>
      </vt:variant>
      <vt:variant>
        <vt:lpwstr>financial accounting standards board</vt:lpwstr>
      </vt:variant>
      <vt:variant>
        <vt:i4>3997763</vt:i4>
      </vt:variant>
      <vt:variant>
        <vt:i4>207</vt:i4>
      </vt:variant>
      <vt:variant>
        <vt:i4>0</vt:i4>
      </vt:variant>
      <vt:variant>
        <vt:i4>5</vt:i4>
      </vt:variant>
      <vt:variant>
        <vt:lpwstr>http://en.wikipedia.org/wiki/Governmental_Accounting_Standards_Board</vt:lpwstr>
      </vt:variant>
      <vt:variant>
        <vt:lpwstr/>
      </vt:variant>
      <vt:variant>
        <vt:i4>721001</vt:i4>
      </vt:variant>
      <vt:variant>
        <vt:i4>204</vt:i4>
      </vt:variant>
      <vt:variant>
        <vt:i4>0</vt:i4>
      </vt:variant>
      <vt:variant>
        <vt:i4>5</vt:i4>
      </vt:variant>
      <vt:variant>
        <vt:lpwstr>http://en.wikipedia.org/wiki/List_of_FASB_Interpretations</vt:lpwstr>
      </vt:variant>
      <vt:variant>
        <vt:lpwstr/>
      </vt:variant>
      <vt:variant>
        <vt:i4>1441897</vt:i4>
      </vt:variant>
      <vt:variant>
        <vt:i4>201</vt:i4>
      </vt:variant>
      <vt:variant>
        <vt:i4>0</vt:i4>
      </vt:variant>
      <vt:variant>
        <vt:i4>5</vt:i4>
      </vt:variant>
      <vt:variant>
        <vt:lpwstr>http://en.wikipedia.org/wiki/List_of_FASB_Statements_of_Financial_Accounting_Concepts</vt:lpwstr>
      </vt:variant>
      <vt:variant>
        <vt:lpwstr/>
      </vt:variant>
      <vt:variant>
        <vt:i4>1245304</vt:i4>
      </vt:variant>
      <vt:variant>
        <vt:i4>198</vt:i4>
      </vt:variant>
      <vt:variant>
        <vt:i4>0</vt:i4>
      </vt:variant>
      <vt:variant>
        <vt:i4>5</vt:i4>
      </vt:variant>
      <vt:variant>
        <vt:lpwstr>http://en.wikipedia.org/wiki/Financial_Accounting_Standards_Board</vt:lpwstr>
      </vt:variant>
      <vt:variant>
        <vt:lpwstr/>
      </vt:variant>
      <vt:variant>
        <vt:i4>655444</vt:i4>
      </vt:variant>
      <vt:variant>
        <vt:i4>195</vt:i4>
      </vt:variant>
      <vt:variant>
        <vt:i4>0</vt:i4>
      </vt:variant>
      <vt:variant>
        <vt:i4>5</vt:i4>
      </vt:variant>
      <vt:variant>
        <vt:lpwstr>http://en.wikipedia.org/wiki/FASB</vt:lpwstr>
      </vt:variant>
      <vt:variant>
        <vt:lpwstr/>
      </vt:variant>
      <vt:variant>
        <vt:i4>3866694</vt:i4>
      </vt:variant>
      <vt:variant>
        <vt:i4>192</vt:i4>
      </vt:variant>
      <vt:variant>
        <vt:i4>0</vt:i4>
      </vt:variant>
      <vt:variant>
        <vt:i4>5</vt:i4>
      </vt:variant>
      <vt:variant>
        <vt:lpwstr>http://en.wikipedia.org/wiki/List_of_APB_Opinions</vt:lpwstr>
      </vt:variant>
      <vt:variant>
        <vt:lpwstr/>
      </vt:variant>
      <vt:variant>
        <vt:i4>4784174</vt:i4>
      </vt:variant>
      <vt:variant>
        <vt:i4>189</vt:i4>
      </vt:variant>
      <vt:variant>
        <vt:i4>0</vt:i4>
      </vt:variant>
      <vt:variant>
        <vt:i4>5</vt:i4>
      </vt:variant>
      <vt:variant>
        <vt:lpwstr>http://en.wikipedia.org/wiki/American_Institute_of_Certified_Public_Accountants</vt:lpwstr>
      </vt:variant>
      <vt:variant>
        <vt:lpwstr/>
      </vt:variant>
      <vt:variant>
        <vt:i4>655444</vt:i4>
      </vt:variant>
      <vt:variant>
        <vt:i4>186</vt:i4>
      </vt:variant>
      <vt:variant>
        <vt:i4>0</vt:i4>
      </vt:variant>
      <vt:variant>
        <vt:i4>5</vt:i4>
      </vt:variant>
      <vt:variant>
        <vt:lpwstr>http://en.wikipedia.org/wiki/FASB</vt:lpwstr>
      </vt:variant>
      <vt:variant>
        <vt:lpwstr/>
      </vt:variant>
      <vt:variant>
        <vt:i4>8126508</vt:i4>
      </vt:variant>
      <vt:variant>
        <vt:i4>183</vt:i4>
      </vt:variant>
      <vt:variant>
        <vt:i4>0</vt:i4>
      </vt:variant>
      <vt:variant>
        <vt:i4>5</vt:i4>
      </vt:variant>
      <vt:variant>
        <vt:lpwstr>http://en.wikipedia.org/wiki/AICPA</vt:lpwstr>
      </vt:variant>
      <vt:variant>
        <vt:lpwstr/>
      </vt:variant>
      <vt:variant>
        <vt:i4>262260</vt:i4>
      </vt:variant>
      <vt:variant>
        <vt:i4>180</vt:i4>
      </vt:variant>
      <vt:variant>
        <vt:i4>0</vt:i4>
      </vt:variant>
      <vt:variant>
        <vt:i4>5</vt:i4>
      </vt:variant>
      <vt:variant>
        <vt:lpwstr>http://en.wikipedia.org/wiki/Great_Depression</vt:lpwstr>
      </vt:variant>
      <vt:variant>
        <vt:lpwstr/>
      </vt:variant>
      <vt:variant>
        <vt:i4>3604546</vt:i4>
      </vt:variant>
      <vt:variant>
        <vt:i4>177</vt:i4>
      </vt:variant>
      <vt:variant>
        <vt:i4>0</vt:i4>
      </vt:variant>
      <vt:variant>
        <vt:i4>5</vt:i4>
      </vt:variant>
      <vt:variant>
        <vt:lpwstr>http://en.wikipedia.org/wiki/United_States_Securities_and_Exchange_Commission</vt:lpwstr>
      </vt:variant>
      <vt:variant>
        <vt:lpwstr/>
      </vt:variant>
      <vt:variant>
        <vt:i4>327744</vt:i4>
      </vt:variant>
      <vt:variant>
        <vt:i4>174</vt:i4>
      </vt:variant>
      <vt:variant>
        <vt:i4>0</vt:i4>
      </vt:variant>
      <vt:variant>
        <vt:i4>5</vt:i4>
      </vt:variant>
      <vt:variant>
        <vt:lpwstr>http://en.wikipedia.org/wiki/Materiality</vt:lpwstr>
      </vt:variant>
      <vt:variant>
        <vt:lpwstr/>
      </vt:variant>
      <vt:variant>
        <vt:i4>1048640</vt:i4>
      </vt:variant>
      <vt:variant>
        <vt:i4>171</vt:i4>
      </vt:variant>
      <vt:variant>
        <vt:i4>0</vt:i4>
      </vt:variant>
      <vt:variant>
        <vt:i4>5</vt:i4>
      </vt:variant>
      <vt:variant>
        <vt:lpwstr>http://en.wikipedia.org/wiki/Revenue</vt:lpwstr>
      </vt:variant>
      <vt:variant>
        <vt:lpwstr/>
      </vt:variant>
      <vt:variant>
        <vt:i4>65627</vt:i4>
      </vt:variant>
      <vt:variant>
        <vt:i4>168</vt:i4>
      </vt:variant>
      <vt:variant>
        <vt:i4>0</vt:i4>
      </vt:variant>
      <vt:variant>
        <vt:i4>5</vt:i4>
      </vt:variant>
      <vt:variant>
        <vt:lpwstr>http://en.wikipedia.org/wiki/Expense</vt:lpwstr>
      </vt:variant>
      <vt:variant>
        <vt:lpwstr/>
      </vt:variant>
      <vt:variant>
        <vt:i4>4587571</vt:i4>
      </vt:variant>
      <vt:variant>
        <vt:i4>165</vt:i4>
      </vt:variant>
      <vt:variant>
        <vt:i4>0</vt:i4>
      </vt:variant>
      <vt:variant>
        <vt:i4>5</vt:i4>
      </vt:variant>
      <vt:variant>
        <vt:lpwstr>http://en.wikipedia.org/wiki/Matching_principle</vt:lpwstr>
      </vt:variant>
      <vt:variant>
        <vt:lpwstr/>
      </vt:variant>
      <vt:variant>
        <vt:i4>720966</vt:i4>
      </vt:variant>
      <vt:variant>
        <vt:i4>162</vt:i4>
      </vt:variant>
      <vt:variant>
        <vt:i4>0</vt:i4>
      </vt:variant>
      <vt:variant>
        <vt:i4>5</vt:i4>
      </vt:variant>
      <vt:variant>
        <vt:lpwstr>http://en.wikipedia.org/wiki/Accrual_basis_accounting</vt:lpwstr>
      </vt:variant>
      <vt:variant>
        <vt:lpwstr/>
      </vt:variant>
      <vt:variant>
        <vt:i4>524372</vt:i4>
      </vt:variant>
      <vt:variant>
        <vt:i4>159</vt:i4>
      </vt:variant>
      <vt:variant>
        <vt:i4>0</vt:i4>
      </vt:variant>
      <vt:variant>
        <vt:i4>5</vt:i4>
      </vt:variant>
      <vt:variant>
        <vt:lpwstr>http://en.wikipedia.org/wiki/Earn</vt:lpwstr>
      </vt:variant>
      <vt:variant>
        <vt:lpwstr/>
      </vt:variant>
      <vt:variant>
        <vt:i4>70</vt:i4>
      </vt:variant>
      <vt:variant>
        <vt:i4>156</vt:i4>
      </vt:variant>
      <vt:variant>
        <vt:i4>0</vt:i4>
      </vt:variant>
      <vt:variant>
        <vt:i4>5</vt:i4>
      </vt:variant>
      <vt:variant>
        <vt:lpwstr>http://en.wikipedia.org/wiki/Realize</vt:lpwstr>
      </vt:variant>
      <vt:variant>
        <vt:lpwstr/>
      </vt:variant>
      <vt:variant>
        <vt:i4>5111831</vt:i4>
      </vt:variant>
      <vt:variant>
        <vt:i4>153</vt:i4>
      </vt:variant>
      <vt:variant>
        <vt:i4>0</vt:i4>
      </vt:variant>
      <vt:variant>
        <vt:i4>5</vt:i4>
      </vt:variant>
      <vt:variant>
        <vt:lpwstr>http://en.wikipedia.org/wiki/Fair_market_value</vt:lpwstr>
      </vt:variant>
      <vt:variant>
        <vt:lpwstr/>
      </vt:variant>
      <vt:variant>
        <vt:i4>4456495</vt:i4>
      </vt:variant>
      <vt:variant>
        <vt:i4>150</vt:i4>
      </vt:variant>
      <vt:variant>
        <vt:i4>0</vt:i4>
      </vt:variant>
      <vt:variant>
        <vt:i4>5</vt:i4>
      </vt:variant>
      <vt:variant>
        <vt:lpwstr>http://en.wikipedia.org/wiki/US_Dollar</vt:lpwstr>
      </vt:variant>
      <vt:variant>
        <vt:lpwstr/>
      </vt:variant>
      <vt:variant>
        <vt:i4>655444</vt:i4>
      </vt:variant>
      <vt:variant>
        <vt:i4>147</vt:i4>
      </vt:variant>
      <vt:variant>
        <vt:i4>0</vt:i4>
      </vt:variant>
      <vt:variant>
        <vt:i4>5</vt:i4>
      </vt:variant>
      <vt:variant>
        <vt:lpwstr>http://en.wikipedia.org/wiki/FASB</vt:lpwstr>
      </vt:variant>
      <vt:variant>
        <vt:lpwstr/>
      </vt:variant>
      <vt:variant>
        <vt:i4>524380</vt:i4>
      </vt:variant>
      <vt:variant>
        <vt:i4>144</vt:i4>
      </vt:variant>
      <vt:variant>
        <vt:i4>0</vt:i4>
      </vt:variant>
      <vt:variant>
        <vt:i4>5</vt:i4>
      </vt:variant>
      <vt:variant>
        <vt:lpwstr>http://en.wikipedia.org/wiki/Currency</vt:lpwstr>
      </vt:variant>
      <vt:variant>
        <vt:lpwstr/>
      </vt:variant>
      <vt:variant>
        <vt:i4>2752578</vt:i4>
      </vt:variant>
      <vt:variant>
        <vt:i4>141</vt:i4>
      </vt:variant>
      <vt:variant>
        <vt:i4>0</vt:i4>
      </vt:variant>
      <vt:variant>
        <vt:i4>5</vt:i4>
      </vt:variant>
      <vt:variant>
        <vt:lpwstr>http://en.wikipedia.org/wiki/Sole_proprietorship</vt:lpwstr>
      </vt:variant>
      <vt:variant>
        <vt:lpwstr/>
      </vt:variant>
      <vt:variant>
        <vt:i4>1638495</vt:i4>
      </vt:variant>
      <vt:variant>
        <vt:i4>138</vt:i4>
      </vt:variant>
      <vt:variant>
        <vt:i4>0</vt:i4>
      </vt:variant>
      <vt:variant>
        <vt:i4>5</vt:i4>
      </vt:variant>
      <vt:variant>
        <vt:lpwstr>http://en.wikipedia.org/wiki/Partnership</vt:lpwstr>
      </vt:variant>
      <vt:variant>
        <vt:lpwstr/>
      </vt:variant>
      <vt:variant>
        <vt:i4>655379</vt:i4>
      </vt:variant>
      <vt:variant>
        <vt:i4>135</vt:i4>
      </vt:variant>
      <vt:variant>
        <vt:i4>0</vt:i4>
      </vt:variant>
      <vt:variant>
        <vt:i4>5</vt:i4>
      </vt:variant>
      <vt:variant>
        <vt:lpwstr>http://en.wikipedia.org/wiki/US_generally_accepted_accounting_principles</vt:lpwstr>
      </vt:variant>
      <vt:variant>
        <vt:lpwstr>House_of_GAAP#House_of_GAAP</vt:lpwstr>
      </vt:variant>
      <vt:variant>
        <vt:i4>1507342</vt:i4>
      </vt:variant>
      <vt:variant>
        <vt:i4>132</vt:i4>
      </vt:variant>
      <vt:variant>
        <vt:i4>0</vt:i4>
      </vt:variant>
      <vt:variant>
        <vt:i4>5</vt:i4>
      </vt:variant>
      <vt:variant>
        <vt:lpwstr>http://en.wikipedia.org/wiki/US_generally_accepted_accounting_principles</vt:lpwstr>
      </vt:variant>
      <vt:variant>
        <vt:lpwstr>Setting_GAAP#Setting_GAAP</vt:lpwstr>
      </vt:variant>
      <vt:variant>
        <vt:i4>655376</vt:i4>
      </vt:variant>
      <vt:variant>
        <vt:i4>129</vt:i4>
      </vt:variant>
      <vt:variant>
        <vt:i4>0</vt:i4>
      </vt:variant>
      <vt:variant>
        <vt:i4>5</vt:i4>
      </vt:variant>
      <vt:variant>
        <vt:lpwstr>http://en.wikipedia.org/wiki/US_generally_accepted_accounting_principles</vt:lpwstr>
      </vt:variant>
      <vt:variant>
        <vt:lpwstr>Constraints#Constraints</vt:lpwstr>
      </vt:variant>
      <vt:variant>
        <vt:i4>2883638</vt:i4>
      </vt:variant>
      <vt:variant>
        <vt:i4>126</vt:i4>
      </vt:variant>
      <vt:variant>
        <vt:i4>0</vt:i4>
      </vt:variant>
      <vt:variant>
        <vt:i4>5</vt:i4>
      </vt:variant>
      <vt:variant>
        <vt:lpwstr>http://en.wikipedia.org/wiki/US_generally_accepted_accounting_principles</vt:lpwstr>
      </vt:variant>
      <vt:variant>
        <vt:lpwstr>Principles#Principles</vt:lpwstr>
      </vt:variant>
      <vt:variant>
        <vt:i4>655376</vt:i4>
      </vt:variant>
      <vt:variant>
        <vt:i4>123</vt:i4>
      </vt:variant>
      <vt:variant>
        <vt:i4>0</vt:i4>
      </vt:variant>
      <vt:variant>
        <vt:i4>5</vt:i4>
      </vt:variant>
      <vt:variant>
        <vt:lpwstr>http://en.wikipedia.org/wiki/US_generally_accepted_accounting_principles</vt:lpwstr>
      </vt:variant>
      <vt:variant>
        <vt:lpwstr>Assumptions#Assumptions</vt:lpwstr>
      </vt:variant>
      <vt:variant>
        <vt:i4>2031621</vt:i4>
      </vt:variant>
      <vt:variant>
        <vt:i4>120</vt:i4>
      </vt:variant>
      <vt:variant>
        <vt:i4>0</vt:i4>
      </vt:variant>
      <vt:variant>
        <vt:i4>5</vt:i4>
      </vt:variant>
      <vt:variant>
        <vt:lpwstr>http://en.wikipedia.org/wiki/US_generally_accepted_accounting_principles</vt:lpwstr>
      </vt:variant>
      <vt:variant>
        <vt:lpwstr>Basic_concepts#Basic_concepts</vt:lpwstr>
      </vt:variant>
      <vt:variant>
        <vt:i4>655376</vt:i4>
      </vt:variant>
      <vt:variant>
        <vt:i4>117</vt:i4>
      </vt:variant>
      <vt:variant>
        <vt:i4>0</vt:i4>
      </vt:variant>
      <vt:variant>
        <vt:i4>5</vt:i4>
      </vt:variant>
      <vt:variant>
        <vt:lpwstr>http://en.wikipedia.org/wiki/US_generally_accepted_accounting_principles</vt:lpwstr>
      </vt:variant>
      <vt:variant>
        <vt:lpwstr>Fundamental_qualities#Fundamental_qualities</vt:lpwstr>
      </vt:variant>
      <vt:variant>
        <vt:i4>1048586</vt:i4>
      </vt:variant>
      <vt:variant>
        <vt:i4>114</vt:i4>
      </vt:variant>
      <vt:variant>
        <vt:i4>0</vt:i4>
      </vt:variant>
      <vt:variant>
        <vt:i4>5</vt:i4>
      </vt:variant>
      <vt:variant>
        <vt:lpwstr>http://en.wikipedia.org/wiki/US_generally_accepted_accounting_principles</vt:lpwstr>
      </vt:variant>
      <vt:variant>
        <vt:lpwstr>Basic_objectives#Basic_objectives</vt:lpwstr>
      </vt:variant>
      <vt:variant>
        <vt:i4>1048688</vt:i4>
      </vt:variant>
      <vt:variant>
        <vt:i4>111</vt:i4>
      </vt:variant>
      <vt:variant>
        <vt:i4>0</vt:i4>
      </vt:variant>
      <vt:variant>
        <vt:i4>5</vt:i4>
      </vt:variant>
      <vt:variant>
        <vt:lpwstr>http://en.wikipedia.org/wiki/International_Financial_Reporting_Standards</vt:lpwstr>
      </vt:variant>
      <vt:variant>
        <vt:lpwstr/>
      </vt:variant>
      <vt:variant>
        <vt:i4>589896</vt:i4>
      </vt:variant>
      <vt:variant>
        <vt:i4>108</vt:i4>
      </vt:variant>
      <vt:variant>
        <vt:i4>0</vt:i4>
      </vt:variant>
      <vt:variant>
        <vt:i4>5</vt:i4>
      </vt:variant>
      <vt:variant>
        <vt:lpwstr>http://en.wikipedia.org/wiki/U.S._Securities_and_Exchange_Commission</vt:lpwstr>
      </vt:variant>
      <vt:variant>
        <vt:lpwstr/>
      </vt:variant>
      <vt:variant>
        <vt:i4>262228</vt:i4>
      </vt:variant>
      <vt:variant>
        <vt:i4>105</vt:i4>
      </vt:variant>
      <vt:variant>
        <vt:i4>0</vt:i4>
      </vt:variant>
      <vt:variant>
        <vt:i4>5</vt:i4>
      </vt:variant>
      <vt:variant>
        <vt:lpwstr>http://en.wikipedia.org/wiki/Law</vt:lpwstr>
      </vt:variant>
      <vt:variant>
        <vt:lpwstr/>
      </vt:variant>
      <vt:variant>
        <vt:i4>8323124</vt:i4>
      </vt:variant>
      <vt:variant>
        <vt:i4>102</vt:i4>
      </vt:variant>
      <vt:variant>
        <vt:i4>0</vt:i4>
      </vt:variant>
      <vt:variant>
        <vt:i4>5</vt:i4>
      </vt:variant>
      <vt:variant>
        <vt:lpwstr>http://en.wikipedia.org/wiki/Government</vt:lpwstr>
      </vt:variant>
      <vt:variant>
        <vt:lpwstr/>
      </vt:variant>
      <vt:variant>
        <vt:i4>4194357</vt:i4>
      </vt:variant>
      <vt:variant>
        <vt:i4>99</vt:i4>
      </vt:variant>
      <vt:variant>
        <vt:i4>0</vt:i4>
      </vt:variant>
      <vt:variant>
        <vt:i4>5</vt:i4>
      </vt:variant>
      <vt:variant>
        <vt:lpwstr>http://en.wikipedia.org/wiki/Common_law</vt:lpwstr>
      </vt:variant>
      <vt:variant>
        <vt:lpwstr/>
      </vt:variant>
      <vt:variant>
        <vt:i4>3997763</vt:i4>
      </vt:variant>
      <vt:variant>
        <vt:i4>96</vt:i4>
      </vt:variant>
      <vt:variant>
        <vt:i4>0</vt:i4>
      </vt:variant>
      <vt:variant>
        <vt:i4>5</vt:i4>
      </vt:variant>
      <vt:variant>
        <vt:lpwstr>http://en.wikipedia.org/wiki/Governmental_Accounting_Standards_Board</vt:lpwstr>
      </vt:variant>
      <vt:variant>
        <vt:lpwstr/>
      </vt:variant>
      <vt:variant>
        <vt:i4>4849724</vt:i4>
      </vt:variant>
      <vt:variant>
        <vt:i4>93</vt:i4>
      </vt:variant>
      <vt:variant>
        <vt:i4>0</vt:i4>
      </vt:variant>
      <vt:variant>
        <vt:i4>5</vt:i4>
      </vt:variant>
      <vt:variant>
        <vt:lpwstr>http://en.wikipedia.org/wiki/United_States</vt:lpwstr>
      </vt:variant>
      <vt:variant>
        <vt:lpwstr/>
      </vt:variant>
      <vt:variant>
        <vt:i4>6946849</vt:i4>
      </vt:variant>
      <vt:variant>
        <vt:i4>90</vt:i4>
      </vt:variant>
      <vt:variant>
        <vt:i4>0</vt:i4>
      </vt:variant>
      <vt:variant>
        <vt:i4>5</vt:i4>
      </vt:variant>
      <vt:variant>
        <vt:lpwstr>http://en.wikipedia.org/wiki/Companies</vt:lpwstr>
      </vt:variant>
      <vt:variant>
        <vt:lpwstr/>
      </vt:variant>
      <vt:variant>
        <vt:i4>1704035</vt:i4>
      </vt:variant>
      <vt:variant>
        <vt:i4>87</vt:i4>
      </vt:variant>
      <vt:variant>
        <vt:i4>0</vt:i4>
      </vt:variant>
      <vt:variant>
        <vt:i4>5</vt:i4>
      </vt:variant>
      <vt:variant>
        <vt:lpwstr>http://en.wikipedia.org/wiki/Financial_statements</vt:lpwstr>
      </vt:variant>
      <vt:variant>
        <vt:lpwstr/>
      </vt:variant>
      <vt:variant>
        <vt:i4>3801178</vt:i4>
      </vt:variant>
      <vt:variant>
        <vt:i4>84</vt:i4>
      </vt:variant>
      <vt:variant>
        <vt:i4>0</vt:i4>
      </vt:variant>
      <vt:variant>
        <vt:i4>5</vt:i4>
      </vt:variant>
      <vt:variant>
        <vt:lpwstr>http://en.wikipedia.org/wiki/Generally_Accepted_Accounting_Principles</vt:lpwstr>
      </vt:variant>
      <vt:variant>
        <vt:lpwstr/>
      </vt:variant>
      <vt:variant>
        <vt:i4>1835015</vt:i4>
      </vt:variant>
      <vt:variant>
        <vt:i4>81</vt:i4>
      </vt:variant>
      <vt:variant>
        <vt:i4>0</vt:i4>
      </vt:variant>
      <vt:variant>
        <vt:i4>5</vt:i4>
      </vt:variant>
      <vt:variant>
        <vt:lpwstr>http://en.wikipedia.org/wiki/Portal:List_of_portals</vt:lpwstr>
      </vt:variant>
      <vt:variant>
        <vt:lpwstr/>
      </vt:variant>
      <vt:variant>
        <vt:i4>6553720</vt:i4>
      </vt:variant>
      <vt:variant>
        <vt:i4>78</vt:i4>
      </vt:variant>
      <vt:variant>
        <vt:i4>0</vt:i4>
      </vt:variant>
      <vt:variant>
        <vt:i4>5</vt:i4>
      </vt:variant>
      <vt:variant>
        <vt:lpwstr>http://en.wikipedia.org/wiki/Wikipedia:WikiProject</vt:lpwstr>
      </vt:variant>
      <vt:variant>
        <vt:lpwstr/>
      </vt:variant>
      <vt:variant>
        <vt:i4>4522062</vt:i4>
      </vt:variant>
      <vt:variant>
        <vt:i4>75</vt:i4>
      </vt:variant>
      <vt:variant>
        <vt:i4>0</vt:i4>
      </vt:variant>
      <vt:variant>
        <vt:i4>5</vt:i4>
      </vt:variant>
      <vt:variant>
        <vt:lpwstr>http://en.wikipedia.org/wiki/Portal:Economics</vt:lpwstr>
      </vt:variant>
      <vt:variant>
        <vt:lpwstr/>
      </vt:variant>
      <vt:variant>
        <vt:i4>1769508</vt:i4>
      </vt:variant>
      <vt:variant>
        <vt:i4>72</vt:i4>
      </vt:variant>
      <vt:variant>
        <vt:i4>0</vt:i4>
      </vt:variant>
      <vt:variant>
        <vt:i4>5</vt:i4>
      </vt:variant>
      <vt:variant>
        <vt:lpwstr>http://en.wikipedia.org/wiki/Wikipedia:WikiProject_Economics</vt:lpwstr>
      </vt:variant>
      <vt:variant>
        <vt:lpwstr/>
      </vt:variant>
      <vt:variant>
        <vt:i4>1769597</vt:i4>
      </vt:variant>
      <vt:variant>
        <vt:i4>69</vt:i4>
      </vt:variant>
      <vt:variant>
        <vt:i4>0</vt:i4>
      </vt:variant>
      <vt:variant>
        <vt:i4>5</vt:i4>
      </vt:variant>
      <vt:variant>
        <vt:lpwstr>http://en.wikipedia.org/wiki/International_Accounting_Standards_Committee</vt:lpwstr>
      </vt:variant>
      <vt:variant>
        <vt:lpwstr/>
      </vt:variant>
      <vt:variant>
        <vt:i4>1048688</vt:i4>
      </vt:variant>
      <vt:variant>
        <vt:i4>66</vt:i4>
      </vt:variant>
      <vt:variant>
        <vt:i4>0</vt:i4>
      </vt:variant>
      <vt:variant>
        <vt:i4>5</vt:i4>
      </vt:variant>
      <vt:variant>
        <vt:lpwstr>http://en.wikipedia.org/wiki/International_Financial_Reporting_Standards</vt:lpwstr>
      </vt:variant>
      <vt:variant>
        <vt:lpwstr/>
      </vt:variant>
      <vt:variant>
        <vt:i4>7929919</vt:i4>
      </vt:variant>
      <vt:variant>
        <vt:i4>63</vt:i4>
      </vt:variant>
      <vt:variant>
        <vt:i4>0</vt:i4>
      </vt:variant>
      <vt:variant>
        <vt:i4>5</vt:i4>
      </vt:variant>
      <vt:variant>
        <vt:lpwstr>http://en.wikipedia.org/wiki/Globalisation</vt:lpwstr>
      </vt:variant>
      <vt:variant>
        <vt:lpwstr/>
      </vt:variant>
      <vt:variant>
        <vt:i4>4391002</vt:i4>
      </vt:variant>
      <vt:variant>
        <vt:i4>60</vt:i4>
      </vt:variant>
      <vt:variant>
        <vt:i4>0</vt:i4>
      </vt:variant>
      <vt:variant>
        <vt:i4>5</vt:i4>
      </vt:variant>
      <vt:variant>
        <vt:lpwstr>http://en.wikipedia.org/w/index.php?title=Special:Booksources&amp;isbn=0130516562</vt:lpwstr>
      </vt:variant>
      <vt:variant>
        <vt:lpwstr/>
      </vt:variant>
      <vt:variant>
        <vt:i4>3014752</vt:i4>
      </vt:variant>
      <vt:variant>
        <vt:i4>57</vt:i4>
      </vt:variant>
      <vt:variant>
        <vt:i4>0</vt:i4>
      </vt:variant>
      <vt:variant>
        <vt:i4>5</vt:i4>
      </vt:variant>
      <vt:variant>
        <vt:lpwstr>http://en.wikipedia.org/wiki/Standard_accounting_practice</vt:lpwstr>
      </vt:variant>
      <vt:variant>
        <vt:lpwstr/>
      </vt:variant>
      <vt:variant>
        <vt:i4>2097268</vt:i4>
      </vt:variant>
      <vt:variant>
        <vt:i4>54</vt:i4>
      </vt:variant>
      <vt:variant>
        <vt:i4>0</vt:i4>
      </vt:variant>
      <vt:variant>
        <vt:i4>5</vt:i4>
      </vt:variant>
      <vt:variant>
        <vt:lpwstr>http://en.wikipedia.org/wiki/Accounting_Principles_Board</vt:lpwstr>
      </vt:variant>
      <vt:variant>
        <vt:lpwstr/>
      </vt:variant>
      <vt:variant>
        <vt:i4>1245304</vt:i4>
      </vt:variant>
      <vt:variant>
        <vt:i4>51</vt:i4>
      </vt:variant>
      <vt:variant>
        <vt:i4>0</vt:i4>
      </vt:variant>
      <vt:variant>
        <vt:i4>5</vt:i4>
      </vt:variant>
      <vt:variant>
        <vt:lpwstr>http://en.wikipedia.org/wiki/Financial_Accounting_Standards_Board</vt:lpwstr>
      </vt:variant>
      <vt:variant>
        <vt:lpwstr/>
      </vt:variant>
      <vt:variant>
        <vt:i4>4784174</vt:i4>
      </vt:variant>
      <vt:variant>
        <vt:i4>48</vt:i4>
      </vt:variant>
      <vt:variant>
        <vt:i4>0</vt:i4>
      </vt:variant>
      <vt:variant>
        <vt:i4>5</vt:i4>
      </vt:variant>
      <vt:variant>
        <vt:lpwstr>http://en.wikipedia.org/wiki/American_Institute_of_Certified_Public_Accountants</vt:lpwstr>
      </vt:variant>
      <vt:variant>
        <vt:lpwstr/>
      </vt:variant>
      <vt:variant>
        <vt:i4>4849724</vt:i4>
      </vt:variant>
      <vt:variant>
        <vt:i4>45</vt:i4>
      </vt:variant>
      <vt:variant>
        <vt:i4>0</vt:i4>
      </vt:variant>
      <vt:variant>
        <vt:i4>5</vt:i4>
      </vt:variant>
      <vt:variant>
        <vt:lpwstr>http://en.wikipedia.org/wiki/United_States</vt:lpwstr>
      </vt:variant>
      <vt:variant>
        <vt:lpwstr/>
      </vt:variant>
      <vt:variant>
        <vt:i4>1835081</vt:i4>
      </vt:variant>
      <vt:variant>
        <vt:i4>42</vt:i4>
      </vt:variant>
      <vt:variant>
        <vt:i4>0</vt:i4>
      </vt:variant>
      <vt:variant>
        <vt:i4>5</vt:i4>
      </vt:variant>
      <vt:variant>
        <vt:lpwstr>http://en.wikipedia.org/wiki/Depreciation</vt:lpwstr>
      </vt:variant>
      <vt:variant>
        <vt:lpwstr/>
      </vt:variant>
      <vt:variant>
        <vt:i4>1900613</vt:i4>
      </vt:variant>
      <vt:variant>
        <vt:i4>39</vt:i4>
      </vt:variant>
      <vt:variant>
        <vt:i4>0</vt:i4>
      </vt:variant>
      <vt:variant>
        <vt:i4>5</vt:i4>
      </vt:variant>
      <vt:variant>
        <vt:lpwstr>http://en.wikipedia.org/wiki/CPA</vt:lpwstr>
      </vt:variant>
      <vt:variant>
        <vt:lpwstr/>
      </vt:variant>
      <vt:variant>
        <vt:i4>524347</vt:i4>
      </vt:variant>
      <vt:variant>
        <vt:i4>36</vt:i4>
      </vt:variant>
      <vt:variant>
        <vt:i4>0</vt:i4>
      </vt:variant>
      <vt:variant>
        <vt:i4>5</vt:i4>
      </vt:variant>
      <vt:variant>
        <vt:lpwstr>http://en.wikipedia.org/wiki/Generally_Accepted_Accounting_Principles</vt:lpwstr>
      </vt:variant>
      <vt:variant>
        <vt:lpwstr>International_GAAP#International_GAAP</vt:lpwstr>
      </vt:variant>
      <vt:variant>
        <vt:i4>1638442</vt:i4>
      </vt:variant>
      <vt:variant>
        <vt:i4>33</vt:i4>
      </vt:variant>
      <vt:variant>
        <vt:i4>0</vt:i4>
      </vt:variant>
      <vt:variant>
        <vt:i4>5</vt:i4>
      </vt:variant>
      <vt:variant>
        <vt:lpwstr>http://en.wikipedia.org/wiki/Generally_Accepted_Accounting_Principles</vt:lpwstr>
      </vt:variant>
      <vt:variant>
        <vt:lpwstr>Required_Departures_from_GAAP#Required_Departures_from_GAAP</vt:lpwstr>
      </vt:variant>
      <vt:variant>
        <vt:i4>1638442</vt:i4>
      </vt:variant>
      <vt:variant>
        <vt:i4>30</vt:i4>
      </vt:variant>
      <vt:variant>
        <vt:i4>0</vt:i4>
      </vt:variant>
      <vt:variant>
        <vt:i4>5</vt:i4>
      </vt:variant>
      <vt:variant>
        <vt:lpwstr>http://en.wikipedia.org/wiki/Generally_Accepted_Accounting_Principles</vt:lpwstr>
      </vt:variant>
      <vt:variant>
        <vt:lpwstr>National_GAAP#National_GAAP</vt:lpwstr>
      </vt:variant>
      <vt:variant>
        <vt:i4>1638435</vt:i4>
      </vt:variant>
      <vt:variant>
        <vt:i4>27</vt:i4>
      </vt:variant>
      <vt:variant>
        <vt:i4>0</vt:i4>
      </vt:variant>
      <vt:variant>
        <vt:i4>5</vt:i4>
      </vt:variant>
      <vt:variant>
        <vt:lpwstr>http://en.wikipedia.org/wiki/Generally_Accepted_Accounting_Principles</vt:lpwstr>
      </vt:variant>
      <vt:variant>
        <vt:lpwstr>United_States.27_GAAP_Hierarchy#United_States.27_GAAP_Hierarchy</vt:lpwstr>
      </vt:variant>
      <vt:variant>
        <vt:i4>3014676</vt:i4>
      </vt:variant>
      <vt:variant>
        <vt:i4>24</vt:i4>
      </vt:variant>
      <vt:variant>
        <vt:i4>0</vt:i4>
      </vt:variant>
      <vt:variant>
        <vt:i4>5</vt:i4>
      </vt:variant>
      <vt:variant>
        <vt:lpwstr>http://en.wikipedia.org/wiki/Generally_Accepted_Accounting_Principles</vt:lpwstr>
      </vt:variant>
      <vt:variant>
        <vt:lpwstr>Principle_of_periodicity#Principle_of_periodicity</vt:lpwstr>
      </vt:variant>
      <vt:variant>
        <vt:i4>1638435</vt:i4>
      </vt:variant>
      <vt:variant>
        <vt:i4>21</vt:i4>
      </vt:variant>
      <vt:variant>
        <vt:i4>0</vt:i4>
      </vt:variant>
      <vt:variant>
        <vt:i4>5</vt:i4>
      </vt:variant>
      <vt:variant>
        <vt:lpwstr>http://en.wikipedia.org/wiki/Generally_Accepted_Accounting_Principles</vt:lpwstr>
      </vt:variant>
      <vt:variant>
        <vt:lpwstr>Principle_of_continuity#Principle_of_continuity</vt:lpwstr>
      </vt:variant>
      <vt:variant>
        <vt:i4>1638463</vt:i4>
      </vt:variant>
      <vt:variant>
        <vt:i4>18</vt:i4>
      </vt:variant>
      <vt:variant>
        <vt:i4>0</vt:i4>
      </vt:variant>
      <vt:variant>
        <vt:i4>5</vt:i4>
      </vt:variant>
      <vt:variant>
        <vt:lpwstr>http://en.wikipedia.org/wiki/Generally_Accepted_Accounting_Principles</vt:lpwstr>
      </vt:variant>
      <vt:variant>
        <vt:lpwstr>Principle_of_prudence#Principle_of_prudence</vt:lpwstr>
      </vt:variant>
      <vt:variant>
        <vt:i4>1638452</vt:i4>
      </vt:variant>
      <vt:variant>
        <vt:i4>15</vt:i4>
      </vt:variant>
      <vt:variant>
        <vt:i4>0</vt:i4>
      </vt:variant>
      <vt:variant>
        <vt:i4>5</vt:i4>
      </vt:variant>
      <vt:variant>
        <vt:lpwstr>http://en.wikipedia.org/wiki/Generally_Accepted_Accounting_Principles</vt:lpwstr>
      </vt:variant>
      <vt:variant>
        <vt:lpwstr>Principle_of_non-compensation#Principle_of_non-compensation</vt:lpwstr>
      </vt:variant>
      <vt:variant>
        <vt:i4>917566</vt:i4>
      </vt:variant>
      <vt:variant>
        <vt:i4>12</vt:i4>
      </vt:variant>
      <vt:variant>
        <vt:i4>0</vt:i4>
      </vt:variant>
      <vt:variant>
        <vt:i4>5</vt:i4>
      </vt:variant>
      <vt:variant>
        <vt:lpwstr>http://en.wikipedia.org/wiki/Generally_Accepted_Accounting_Principles</vt:lpwstr>
      </vt:variant>
      <vt:variant>
        <vt:lpwstr>Principle_of_the_permanence_of_methods#Principle_of_the_permanence_of_methods</vt:lpwstr>
      </vt:variant>
      <vt:variant>
        <vt:i4>2162715</vt:i4>
      </vt:variant>
      <vt:variant>
        <vt:i4>9</vt:i4>
      </vt:variant>
      <vt:variant>
        <vt:i4>0</vt:i4>
      </vt:variant>
      <vt:variant>
        <vt:i4>5</vt:i4>
      </vt:variant>
      <vt:variant>
        <vt:lpwstr>http://en.wikipedia.org/wiki/Generally_Accepted_Accounting_Principles</vt:lpwstr>
      </vt:variant>
      <vt:variant>
        <vt:lpwstr>Principle_of_sincerity#Principle_of_sincerity</vt:lpwstr>
      </vt:variant>
      <vt:variant>
        <vt:i4>1638435</vt:i4>
      </vt:variant>
      <vt:variant>
        <vt:i4>6</vt:i4>
      </vt:variant>
      <vt:variant>
        <vt:i4>0</vt:i4>
      </vt:variant>
      <vt:variant>
        <vt:i4>5</vt:i4>
      </vt:variant>
      <vt:variant>
        <vt:lpwstr>http://en.wikipedia.org/wiki/Generally_Accepted_Accounting_Principles</vt:lpwstr>
      </vt:variant>
      <vt:variant>
        <vt:lpwstr>Principle_of_regularity#Principle_of_regularity</vt:lpwstr>
      </vt:variant>
      <vt:variant>
        <vt:i4>1704035</vt:i4>
      </vt:variant>
      <vt:variant>
        <vt:i4>3</vt:i4>
      </vt:variant>
      <vt:variant>
        <vt:i4>0</vt:i4>
      </vt:variant>
      <vt:variant>
        <vt:i4>5</vt:i4>
      </vt:variant>
      <vt:variant>
        <vt:lpwstr>http://en.wikipedia.org/wiki/Financial_statements</vt:lpwstr>
      </vt:variant>
      <vt:variant>
        <vt:lpwstr/>
      </vt:variant>
      <vt:variant>
        <vt:i4>1114219</vt:i4>
      </vt:variant>
      <vt:variant>
        <vt:i4>0</vt:i4>
      </vt:variant>
      <vt:variant>
        <vt:i4>0</vt:i4>
      </vt:variant>
      <vt:variant>
        <vt:i4>5</vt:i4>
      </vt:variant>
      <vt:variant>
        <vt:lpwstr>http://en.wikipedia.org/wiki/Financial_accounting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dc:title>
  <dc:subject/>
  <dc:creator>Windows XP</dc:creator>
  <cp:keywords/>
  <dc:description/>
  <cp:lastModifiedBy>Your User Name</cp:lastModifiedBy>
  <cp:revision>2</cp:revision>
  <cp:lastPrinted>2007-02-01T16:53:00Z</cp:lastPrinted>
  <dcterms:created xsi:type="dcterms:W3CDTF">2012-05-22T20:44:00Z</dcterms:created>
  <dcterms:modified xsi:type="dcterms:W3CDTF">2012-05-22T20:44:00Z</dcterms:modified>
</cp:coreProperties>
</file>