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2D09BA" w:rsidRDefault="005A4308" w:rsidP="00E0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47C2F" w:rsidRPr="002D09BA">
        <w:rPr>
          <w:rFonts w:ascii="Times New Roman" w:hAnsi="Times New Roman" w:cs="Times New Roman"/>
          <w:b/>
          <w:sz w:val="24"/>
          <w:szCs w:val="24"/>
        </w:rPr>
        <w:t xml:space="preserve">FILOLOGI </w:t>
      </w:r>
      <w:r w:rsidR="00B47C2F">
        <w:rPr>
          <w:rFonts w:ascii="Times New Roman" w:hAnsi="Times New Roman" w:cs="Times New Roman"/>
          <w:b/>
          <w:sz w:val="24"/>
          <w:szCs w:val="24"/>
        </w:rPr>
        <w:t>JAWI I / PBJ 223</w:t>
      </w: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E037A5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>: II</w:t>
      </w:r>
      <w:r w:rsidR="00C16F2F" w:rsidRPr="002D09BA">
        <w:rPr>
          <w:rFonts w:ascii="Times New Roman" w:hAnsi="Times New Roman" w:cs="Times New Roman"/>
          <w:sz w:val="24"/>
          <w:szCs w:val="24"/>
        </w:rPr>
        <w:t xml:space="preserve">I/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>/</w:t>
      </w:r>
    </w:p>
    <w:p w:rsidR="005A4308" w:rsidRDefault="005A4308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5C1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F20AC0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F20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AC0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804BDA" w:rsidRPr="00804BDA" w:rsidRDefault="00804BDA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: sriharti@uny.ac.id</w:t>
      </w:r>
    </w:p>
    <w:p w:rsidR="005A4308" w:rsidRPr="002D09BA" w:rsidRDefault="005A4308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747EE3" w:rsidRPr="00453BAD" w:rsidRDefault="00747EE3" w:rsidP="00453BA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hakikat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. Mata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membahas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peengertian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berupa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Tanya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tertulis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5A4308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747EE3"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5A4308" w:rsidRDefault="00747EE3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5A4308" w:rsidRDefault="005A4308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5A4308" w:rsidRDefault="005A4308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</w:t>
            </w:r>
          </w:p>
          <w:p w:rsidR="00453BAD" w:rsidRDefault="00B10A67" w:rsidP="00B10A67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5A4308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5A4308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453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5A4308" w:rsidRPr="00B10A67" w:rsidRDefault="00B10A67" w:rsidP="00B10A67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453BAD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5A4308" w:rsidRPr="00B1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3" w:rsidRPr="005A4308" w:rsidRDefault="005A4308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BA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B10A67"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B1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A67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747EE3" w:rsidRPr="005A4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3" w:rsidRPr="002D09BA" w:rsidRDefault="00747EE3" w:rsidP="009565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5A4308" w:rsidTr="004B21C9">
        <w:tc>
          <w:tcPr>
            <w:tcW w:w="8298" w:type="dxa"/>
          </w:tcPr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86720">
              <w:rPr>
                <w:rFonts w:ascii="Times New Roman" w:hAnsi="Times New Roman" w:cs="Times New Roman"/>
                <w:sz w:val="24"/>
                <w:szCs w:val="24"/>
              </w:rPr>
              <w:t>ilologi</w:t>
            </w:r>
            <w:proofErr w:type="spellEnd"/>
            <w:r w:rsidR="004867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5A4308" w:rsidRPr="004D3F42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B83" w:rsidRPr="005A4308" w:rsidRDefault="004B5B83" w:rsidP="005A4308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34140E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747EE3" w:rsidRPr="002D09BA" w:rsidTr="00956519">
        <w:tc>
          <w:tcPr>
            <w:tcW w:w="8298" w:type="dxa"/>
          </w:tcPr>
          <w:p w:rsidR="00747EE3" w:rsidRPr="002D09BA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Wajib</w:t>
            </w:r>
            <w:proofErr w:type="spellEnd"/>
          </w:p>
          <w:p w:rsidR="0034140E" w:rsidRPr="002D09BA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0E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Baroroh-Baried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1985.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F0F" w:rsidRPr="002D09B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Behrend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T.E.,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. 1990.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Museum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Yogyakarta.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I. Jakarta: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F0F" w:rsidRPr="002D09B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_______________. 1997.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Katalog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Induk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Naskah-naskah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Fakultas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>Universitas</w:t>
            </w:r>
            <w:proofErr w:type="spellEnd"/>
            <w:r w:rsidRPr="002D09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3-A, 3-B.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Jkarta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:rsidR="00D66F0F" w:rsidRPr="002D09B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Darusuprapta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1984.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Kebahasaan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Naskah.Widyaparwa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1984. Yogyakarta;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1985.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Tatakrama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Pertunjukan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Bali,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Sunda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Yogyakarta: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Pengkajian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(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Javanologi</w:t>
            </w:r>
            <w:proofErr w:type="spellEnd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Direktorat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Jenderal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</w:t>
            </w:r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1991.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Dunia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Makalah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Stensilan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November 1991 di Auditorium Asana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Widyawara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Museum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Djamaris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Edwar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1977.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III. Jakarta: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Girardet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Nokolaus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1983.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Descriptive of the Javanese Manuscripts </w:t>
            </w:r>
            <w:proofErr w:type="gram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  Printed</w:t>
            </w:r>
            <w:proofErr w:type="gram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Books in the Main Libraries Of Surakarta and Yogyakarta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Wiesb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aden: Franz Steiner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GMBH.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3414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Kusumah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Dloyana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1997. Indo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nesia Indah: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Jakarta: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Kita/BP 3 TMII.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Manuskrip-amanuskrip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06"/>
      </w:tblGrid>
      <w:tr w:rsidR="00CA34BA" w:rsidTr="00CA34BA">
        <w:tc>
          <w:tcPr>
            <w:tcW w:w="8406" w:type="dxa"/>
          </w:tcPr>
          <w:p w:rsidR="00CA34BA" w:rsidRDefault="00CA34BA" w:rsidP="00C0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>yati-Soebadio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. 1991. “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Pernaskahan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Lembaran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No. 12. FSUI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J.G. 1951.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Arabic-English Dictionary. </w:t>
            </w:r>
            <w:r w:rsidRPr="00CA34B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irut: Catholic Press.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Macdonell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, Arthur Anthony. 1954. </w:t>
            </w:r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Pratical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Sanskrit Dictionary. 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>London: Oxford University Press.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Mardiwarsito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1981.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Kuna-Indonesia.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Nusa Indah.</w:t>
            </w:r>
          </w:p>
          <w:p w:rsidR="00710CD7" w:rsidRP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P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r w:rsidR="00CA34BA" w:rsidRPr="00CA34BA">
              <w:rPr>
                <w:rFonts w:ascii="Times New Roman" w:hAnsi="Times New Roman"/>
                <w:sz w:val="24"/>
                <w:szCs w:val="24"/>
              </w:rPr>
              <w:t>rwodarminto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, WJS. 1939. </w:t>
            </w:r>
            <w:proofErr w:type="spellStart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>Baoesastra</w:t>
            </w:r>
            <w:proofErr w:type="spellEnd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Batavia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r w:rsidR="00CA34BA" w:rsidRPr="00CA34BA">
              <w:rPr>
                <w:rFonts w:ascii="Times New Roman" w:hAnsi="Times New Roman"/>
                <w:sz w:val="24"/>
                <w:szCs w:val="24"/>
              </w:rPr>
              <w:t>lters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="00CA34BA" w:rsidRPr="00CA34BA">
              <w:rPr>
                <w:rFonts w:ascii="Times New Roman" w:hAnsi="Times New Roman"/>
                <w:sz w:val="24"/>
                <w:szCs w:val="24"/>
              </w:rPr>
              <w:t>Uitgevers-Maatschappij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 N.V.</w:t>
            </w:r>
          </w:p>
          <w:p w:rsidR="00710CD7" w:rsidRP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Prawiroatmojo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1981.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Bausastra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-Indonesia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P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Henry Guntur.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Ketrampilan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</w:p>
        </w:tc>
      </w:tr>
    </w:tbl>
    <w:p w:rsidR="002A5F32" w:rsidRPr="002D09BA" w:rsidRDefault="002A5F32" w:rsidP="00C0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536A" w:rsidSect="002F46A5">
          <w:pgSz w:w="11909" w:h="16834" w:code="9"/>
          <w:pgMar w:top="1440" w:right="1138" w:bottom="1138" w:left="1440" w:header="720" w:footer="720" w:gutter="0"/>
          <w:cols w:space="720"/>
          <w:docGrid w:linePitch="360"/>
        </w:sectPr>
      </w:pPr>
    </w:p>
    <w:p w:rsidR="0045536A" w:rsidRDefault="0045536A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Yogyakarta,</w:t>
      </w: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Widyastuti</w:t>
      </w:r>
      <w:proofErr w:type="spellEnd"/>
      <w:r>
        <w:rPr>
          <w:rFonts w:ascii="Times New Roman" w:hAnsi="Times New Roman" w:cs="Times New Roman"/>
          <w:sz w:val="24"/>
          <w:szCs w:val="24"/>
        </w:rPr>
        <w:t>, M. Hum</w:t>
      </w:r>
    </w:p>
    <w:p w:rsidR="00ED6983" w:rsidRDefault="00ED6983" w:rsidP="00455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D6983" w:rsidSect="0045536A">
          <w:pgSz w:w="15840" w:h="12240" w:orient="landscape"/>
          <w:pgMar w:top="1138" w:right="1138" w:bottom="2275" w:left="1699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NIP.196210081988032</w:t>
      </w:r>
      <w:r w:rsidR="00B87668">
        <w:rPr>
          <w:rFonts w:ascii="Times New Roman" w:hAnsi="Times New Roman" w:cs="Times New Roman"/>
          <w:sz w:val="24"/>
          <w:szCs w:val="24"/>
        </w:rPr>
        <w:t>001</w:t>
      </w:r>
    </w:p>
    <w:p w:rsidR="00E037A5" w:rsidRPr="00B87668" w:rsidRDefault="00E037A5" w:rsidP="00B87668">
      <w:pPr>
        <w:rPr>
          <w:rFonts w:ascii="Times New Roman" w:hAnsi="Times New Roman" w:cs="Times New Roman"/>
          <w:sz w:val="24"/>
          <w:szCs w:val="24"/>
        </w:rPr>
      </w:pPr>
    </w:p>
    <w:sectPr w:rsidR="00E037A5" w:rsidRPr="00B87668" w:rsidSect="00DC6565">
      <w:pgSz w:w="12240" w:h="15840"/>
      <w:pgMar w:top="1701" w:right="1134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FBE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62D0"/>
    <w:multiLevelType w:val="hybridMultilevel"/>
    <w:tmpl w:val="712C2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64F68"/>
    <w:rsid w:val="00077758"/>
    <w:rsid w:val="000B4151"/>
    <w:rsid w:val="000B677A"/>
    <w:rsid w:val="000E0C31"/>
    <w:rsid w:val="000E7890"/>
    <w:rsid w:val="002A5F32"/>
    <w:rsid w:val="002D09BA"/>
    <w:rsid w:val="002F46A5"/>
    <w:rsid w:val="0034140E"/>
    <w:rsid w:val="003E3F01"/>
    <w:rsid w:val="00412322"/>
    <w:rsid w:val="00415D14"/>
    <w:rsid w:val="00453BAD"/>
    <w:rsid w:val="0045536A"/>
    <w:rsid w:val="00486720"/>
    <w:rsid w:val="004B5B83"/>
    <w:rsid w:val="004F1F2B"/>
    <w:rsid w:val="00536034"/>
    <w:rsid w:val="00576D45"/>
    <w:rsid w:val="005A4308"/>
    <w:rsid w:val="005A52F8"/>
    <w:rsid w:val="006136BF"/>
    <w:rsid w:val="00710CD7"/>
    <w:rsid w:val="00747EE3"/>
    <w:rsid w:val="00796AF7"/>
    <w:rsid w:val="00804BDA"/>
    <w:rsid w:val="00846B73"/>
    <w:rsid w:val="009737E2"/>
    <w:rsid w:val="00A034EE"/>
    <w:rsid w:val="00AC05B0"/>
    <w:rsid w:val="00AE34FA"/>
    <w:rsid w:val="00B10A67"/>
    <w:rsid w:val="00B26992"/>
    <w:rsid w:val="00B302AD"/>
    <w:rsid w:val="00B47C2F"/>
    <w:rsid w:val="00B87668"/>
    <w:rsid w:val="00C06A95"/>
    <w:rsid w:val="00C16F2F"/>
    <w:rsid w:val="00C5220B"/>
    <w:rsid w:val="00C7182D"/>
    <w:rsid w:val="00C92D53"/>
    <w:rsid w:val="00CA34BA"/>
    <w:rsid w:val="00CF4CC9"/>
    <w:rsid w:val="00D45C17"/>
    <w:rsid w:val="00D66F0F"/>
    <w:rsid w:val="00DA401F"/>
    <w:rsid w:val="00DC6565"/>
    <w:rsid w:val="00DE477A"/>
    <w:rsid w:val="00E037A5"/>
    <w:rsid w:val="00ED6983"/>
    <w:rsid w:val="00F20AC0"/>
    <w:rsid w:val="00F744F0"/>
    <w:rsid w:val="00FA2D7E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7F02-B495-4D80-8440-DA44D41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40</cp:revision>
  <cp:lastPrinted>2014-10-08T12:21:00Z</cp:lastPrinted>
  <dcterms:created xsi:type="dcterms:W3CDTF">2014-07-02T00:26:00Z</dcterms:created>
  <dcterms:modified xsi:type="dcterms:W3CDTF">2014-11-13T15:44:00Z</dcterms:modified>
</cp:coreProperties>
</file>