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D5" w:rsidRDefault="00CE5CD5" w:rsidP="00CE5CD5">
      <w:pPr>
        <w:autoSpaceDE w:val="0"/>
        <w:autoSpaceDN w:val="0"/>
        <w:adjustRightInd w:val="0"/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</w:pPr>
      <w:r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  <w:t>International Seminar and the Fourth National Conference on Mathematics Education 2011</w:t>
      </w:r>
    </w:p>
    <w:p w:rsidR="00CE5CD5" w:rsidRDefault="00CE5CD5" w:rsidP="00CE5CD5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81"/>
          <w:sz w:val="19"/>
          <w:szCs w:val="19"/>
          <w:lang w:val="id-ID" w:eastAsia="id-ID"/>
        </w:rPr>
      </w:pPr>
      <w:r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  <w:t>“</w:t>
      </w:r>
      <w:r>
        <w:rPr>
          <w:rFonts w:ascii="Trebuchet MS" w:hAnsi="Trebuchet MS" w:cs="Trebuchet MS"/>
          <w:b/>
          <w:bCs/>
          <w:color w:val="000081"/>
          <w:sz w:val="19"/>
          <w:szCs w:val="19"/>
          <w:lang w:val="id-ID" w:eastAsia="id-ID"/>
        </w:rPr>
        <w:t>Building the Nation Character through Humanistic Mathematics Education”</w:t>
      </w:r>
    </w:p>
    <w:p w:rsidR="00CE5CD5" w:rsidRDefault="00CE5CD5" w:rsidP="00CE5CD5">
      <w:pPr>
        <w:autoSpaceDE w:val="0"/>
        <w:autoSpaceDN w:val="0"/>
        <w:adjustRightInd w:val="0"/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</w:pPr>
      <w:r>
        <w:rPr>
          <w:rFonts w:ascii="PalatinoLinotype-BoldItalic" w:hAnsi="PalatinoLinotype-BoldItalic" w:cs="PalatinoLinotype-BoldItalic"/>
          <w:b/>
          <w:bCs/>
          <w:i/>
          <w:iCs/>
          <w:color w:val="000000"/>
          <w:sz w:val="19"/>
          <w:szCs w:val="19"/>
          <w:lang w:val="id-ID" w:eastAsia="id-ID"/>
        </w:rPr>
        <w:t>Department of Mathematics Education, Yogyakarta State University</w:t>
      </w:r>
    </w:p>
    <w:p w:rsidR="00CE5CD5" w:rsidRDefault="00CE5CD5" w:rsidP="00CE5CD5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9"/>
          <w:szCs w:val="19"/>
          <w:lang w:val="id-ID" w:eastAsia="id-ID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19"/>
          <w:szCs w:val="19"/>
          <w:lang w:val="id-ID" w:eastAsia="id-ID"/>
        </w:rPr>
        <w:t>Yogyakarta, July 21</w:t>
      </w:r>
      <w:r>
        <w:rPr>
          <w:rFonts w:ascii="Cambria Math" w:hAnsi="Cambria Math" w:cs="Cambria Math"/>
          <w:b/>
          <w:bCs/>
          <w:i/>
          <w:iCs/>
          <w:color w:val="000000"/>
          <w:sz w:val="19"/>
          <w:szCs w:val="19"/>
          <w:lang w:val="id-ID" w:eastAsia="id-ID"/>
        </w:rPr>
        <w:t>‐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19"/>
          <w:szCs w:val="19"/>
          <w:lang w:val="id-ID" w:eastAsia="id-ID"/>
        </w:rPr>
        <w:t xml:space="preserve">23,2011 </w:t>
      </w:r>
      <w:r>
        <w:rPr>
          <w:rFonts w:ascii="Calibri-Bold" w:hAnsi="Calibri-Bold" w:cs="Calibri-Bold"/>
          <w:b/>
          <w:bCs/>
          <w:color w:val="000000"/>
          <w:sz w:val="19"/>
          <w:szCs w:val="19"/>
          <w:lang w:val="id-ID" w:eastAsia="id-ID"/>
        </w:rPr>
        <w:t>326</w:t>
      </w:r>
    </w:p>
    <w:p w:rsidR="00CE5CD5" w:rsidRDefault="00CE5CD5" w:rsidP="00CE5C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id-ID" w:eastAsia="id-ID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id-ID" w:eastAsia="id-ID"/>
        </w:rPr>
        <w:t xml:space="preserve">P </w:t>
      </w:r>
      <w:r w:rsidR="007E0166">
        <w:rPr>
          <w:rFonts w:ascii="Arial" w:hAnsi="Arial" w:cs="Arial"/>
          <w:b/>
          <w:bCs/>
          <w:color w:val="000000"/>
          <w:sz w:val="26"/>
          <w:szCs w:val="26"/>
          <w:lang w:val="id-ID" w:eastAsia="id-ID"/>
        </w:rPr>
        <w:t>–</w:t>
      </w:r>
      <w:r>
        <w:rPr>
          <w:rFonts w:ascii="Arial" w:hAnsi="Arial" w:cs="Arial"/>
          <w:b/>
          <w:bCs/>
          <w:color w:val="000000"/>
          <w:sz w:val="26"/>
          <w:szCs w:val="26"/>
          <w:lang w:val="id-ID" w:eastAsia="id-ID"/>
        </w:rPr>
        <w:t xml:space="preserve"> 33</w:t>
      </w:r>
    </w:p>
    <w:p w:rsidR="007E0166" w:rsidRDefault="007E0166" w:rsidP="00CE5C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id-ID" w:eastAsia="id-ID"/>
        </w:rPr>
      </w:pPr>
    </w:p>
    <w:p w:rsidR="007E0166" w:rsidRDefault="007E0166" w:rsidP="00CE5C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id-ID" w:eastAsia="id-ID"/>
        </w:rPr>
      </w:pPr>
    </w:p>
    <w:p w:rsidR="00CE5CD5" w:rsidRDefault="00CE5CD5" w:rsidP="00CE5CD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THE EFFORTS TO INCREASE CRITICAL THINKING ABILITY</w:t>
      </w:r>
    </w:p>
    <w:p w:rsidR="00CE5CD5" w:rsidRDefault="00CE5CD5" w:rsidP="00CE5CD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OF XI SCIENCE 2 STUDENTSOF SMA NEGERI 8 YOGYAKARTA</w:t>
      </w:r>
    </w:p>
    <w:p w:rsidR="00CE5CD5" w:rsidRDefault="00CE5CD5" w:rsidP="00CE5CD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IN THE MATHEMATICS LEARNING</w:t>
      </w:r>
    </w:p>
    <w:p w:rsidR="00CE5CD5" w:rsidRDefault="00CE5CD5" w:rsidP="00CE5CD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THROUGH COOPERATIVE LEARNING TYPE GROUP</w:t>
      </w:r>
    </w:p>
    <w:p w:rsidR="00CE5CD5" w:rsidRDefault="00CE5CD5" w:rsidP="00CE5CD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id-ID" w:eastAsia="id-ID"/>
        </w:rPr>
      </w:pPr>
      <w:r>
        <w:rPr>
          <w:b/>
          <w:bCs/>
          <w:color w:val="000000"/>
          <w:sz w:val="26"/>
          <w:szCs w:val="26"/>
          <w:lang w:val="id-ID" w:eastAsia="id-ID"/>
        </w:rPr>
        <w:t>INVESTIGATION (GI)</w:t>
      </w:r>
    </w:p>
    <w:p w:rsidR="00CE5CD5" w:rsidRDefault="00CE5CD5" w:rsidP="00CE5CD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id-ID" w:eastAsia="id-ID"/>
        </w:rPr>
      </w:pPr>
      <w:r>
        <w:rPr>
          <w:color w:val="000000"/>
          <w:sz w:val="23"/>
          <w:szCs w:val="23"/>
          <w:lang w:val="id-ID" w:eastAsia="id-ID"/>
        </w:rPr>
        <w:t>By</w:t>
      </w:r>
    </w:p>
    <w:p w:rsidR="00CE5CD5" w:rsidRPr="00CE5CD5" w:rsidRDefault="00CE5CD5" w:rsidP="00CE5CD5">
      <w:pPr>
        <w:autoSpaceDE w:val="0"/>
        <w:autoSpaceDN w:val="0"/>
        <w:adjustRightInd w:val="0"/>
        <w:jc w:val="center"/>
        <w:rPr>
          <w:b/>
          <w:bCs/>
          <w:color w:val="000000"/>
          <w:lang w:val="id-ID" w:eastAsia="id-ID"/>
        </w:rPr>
      </w:pPr>
      <w:r w:rsidRPr="00CE5CD5">
        <w:rPr>
          <w:b/>
          <w:bCs/>
          <w:color w:val="000000"/>
          <w:lang w:val="id-ID" w:eastAsia="id-ID"/>
        </w:rPr>
        <w:t>Ajeng Desi Crisandi Pritasari</w:t>
      </w:r>
    </w:p>
    <w:p w:rsidR="00CE5CD5" w:rsidRPr="00CE5CD5" w:rsidRDefault="00CE5CD5" w:rsidP="00CE5CD5">
      <w:pPr>
        <w:autoSpaceDE w:val="0"/>
        <w:autoSpaceDN w:val="0"/>
        <w:adjustRightInd w:val="0"/>
        <w:jc w:val="center"/>
        <w:rPr>
          <w:b/>
          <w:bCs/>
          <w:color w:val="000000"/>
          <w:lang w:val="id-ID" w:eastAsia="id-ID"/>
        </w:rPr>
      </w:pPr>
      <w:r w:rsidRPr="00CE5CD5">
        <w:rPr>
          <w:b/>
          <w:bCs/>
          <w:color w:val="000000"/>
          <w:lang w:val="id-ID" w:eastAsia="id-ID"/>
        </w:rPr>
        <w:t>Endang Listyani, M.Si</w:t>
      </w:r>
    </w:p>
    <w:p w:rsidR="00CE5CD5" w:rsidRPr="00CE5CD5" w:rsidRDefault="00CE5CD5" w:rsidP="00CE5CD5">
      <w:pPr>
        <w:autoSpaceDE w:val="0"/>
        <w:autoSpaceDN w:val="0"/>
        <w:adjustRightInd w:val="0"/>
        <w:jc w:val="center"/>
        <w:rPr>
          <w:b/>
          <w:bCs/>
          <w:color w:val="000000"/>
          <w:lang w:val="id-ID" w:eastAsia="id-ID"/>
        </w:rPr>
      </w:pPr>
      <w:r w:rsidRPr="00CE5CD5">
        <w:rPr>
          <w:b/>
          <w:bCs/>
          <w:color w:val="000000"/>
          <w:lang w:val="id-ID" w:eastAsia="id-ID"/>
        </w:rPr>
        <w:t>Fitriana Yuli S, M.Si</w:t>
      </w:r>
    </w:p>
    <w:p w:rsidR="00CE5CD5" w:rsidRDefault="00CE5CD5" w:rsidP="00CE5CD5">
      <w:pPr>
        <w:autoSpaceDE w:val="0"/>
        <w:autoSpaceDN w:val="0"/>
        <w:adjustRightInd w:val="0"/>
        <w:jc w:val="center"/>
        <w:rPr>
          <w:i/>
          <w:iCs/>
          <w:color w:val="000000"/>
          <w:lang w:val="id-ID" w:eastAsia="id-ID"/>
        </w:rPr>
      </w:pPr>
      <w:r w:rsidRPr="00CE5CD5">
        <w:rPr>
          <w:i/>
          <w:iCs/>
          <w:color w:val="000000"/>
          <w:lang w:val="id-ID" w:eastAsia="id-ID"/>
        </w:rPr>
        <w:t>Faculty of Mathematics and Natural Science, Yogyakarta State University</w:t>
      </w:r>
    </w:p>
    <w:p w:rsidR="00CE5CD5" w:rsidRDefault="00CE5CD5" w:rsidP="00CE5CD5">
      <w:pPr>
        <w:autoSpaceDE w:val="0"/>
        <w:autoSpaceDN w:val="0"/>
        <w:adjustRightInd w:val="0"/>
        <w:jc w:val="center"/>
        <w:rPr>
          <w:i/>
          <w:iCs/>
          <w:color w:val="000000"/>
          <w:lang w:val="id-ID" w:eastAsia="id-ID"/>
        </w:rPr>
      </w:pPr>
    </w:p>
    <w:p w:rsidR="00CE5CD5" w:rsidRPr="00CE5CD5" w:rsidRDefault="00CE5CD5" w:rsidP="00CE5CD5">
      <w:pPr>
        <w:autoSpaceDE w:val="0"/>
        <w:autoSpaceDN w:val="0"/>
        <w:adjustRightInd w:val="0"/>
        <w:jc w:val="center"/>
        <w:rPr>
          <w:i/>
          <w:iCs/>
          <w:color w:val="000000"/>
          <w:lang w:val="id-ID" w:eastAsia="id-ID"/>
        </w:rPr>
      </w:pPr>
    </w:p>
    <w:p w:rsidR="00CE5CD5" w:rsidRPr="00CE5CD5" w:rsidRDefault="00CE5CD5" w:rsidP="00CE5CD5">
      <w:pPr>
        <w:autoSpaceDE w:val="0"/>
        <w:autoSpaceDN w:val="0"/>
        <w:adjustRightInd w:val="0"/>
        <w:jc w:val="center"/>
        <w:rPr>
          <w:b/>
          <w:bCs/>
          <w:color w:val="000000"/>
          <w:lang w:val="id-ID" w:eastAsia="id-ID"/>
        </w:rPr>
      </w:pPr>
      <w:r w:rsidRPr="00CE5CD5">
        <w:rPr>
          <w:b/>
          <w:bCs/>
          <w:color w:val="000000"/>
          <w:lang w:val="id-ID" w:eastAsia="id-ID"/>
        </w:rPr>
        <w:t>Abstract</w:t>
      </w:r>
    </w:p>
    <w:p w:rsidR="00CE5CD5" w:rsidRPr="00CE5CD5" w:rsidRDefault="00CE5CD5" w:rsidP="00CE5CD5">
      <w:pPr>
        <w:autoSpaceDE w:val="0"/>
        <w:autoSpaceDN w:val="0"/>
        <w:adjustRightInd w:val="0"/>
        <w:ind w:firstLine="720"/>
        <w:jc w:val="both"/>
        <w:rPr>
          <w:color w:val="000000"/>
          <w:lang w:val="id-ID" w:eastAsia="id-ID"/>
        </w:rPr>
      </w:pPr>
      <w:r w:rsidRPr="00CE5CD5">
        <w:rPr>
          <w:color w:val="000000"/>
          <w:lang w:val="id-ID" w:eastAsia="id-ID"/>
        </w:rPr>
        <w:t>The aim of this research is to increase the critical thinking ability of XI Science 2 students of SMA8 Yogyakarta through cooperative learning type Group Investigation (GI).</w:t>
      </w:r>
    </w:p>
    <w:p w:rsidR="00CE5CD5" w:rsidRPr="00CE5CD5" w:rsidRDefault="00CE5CD5" w:rsidP="00CE5CD5">
      <w:pPr>
        <w:autoSpaceDE w:val="0"/>
        <w:autoSpaceDN w:val="0"/>
        <w:adjustRightInd w:val="0"/>
        <w:ind w:firstLine="720"/>
        <w:jc w:val="both"/>
        <w:rPr>
          <w:color w:val="000000"/>
          <w:lang w:val="id-ID" w:eastAsia="id-ID"/>
        </w:rPr>
      </w:pPr>
      <w:r w:rsidRPr="00CE5CD5">
        <w:rPr>
          <w:color w:val="000000"/>
          <w:lang w:val="id-ID" w:eastAsia="id-ID"/>
        </w:rPr>
        <w:t>This research is action research class that consists of four phases, include: planning, acting,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observing, and reflecting. Subject of this research are XI Science 2 students. Whereas, the object of this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research are all of the process and mathematic learning result with the application of cooperative learning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type Group Investigation (GI) to increase critical thinking ability. The instruments of this research are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test, questionnaire, and observing sheets. Data analyze technique uses qualitative- descriptive analyze.</w:t>
      </w:r>
    </w:p>
    <w:p w:rsidR="00CE5CD5" w:rsidRPr="00CE5CD5" w:rsidRDefault="00CE5CD5" w:rsidP="00CE5CD5">
      <w:pPr>
        <w:autoSpaceDE w:val="0"/>
        <w:autoSpaceDN w:val="0"/>
        <w:adjustRightInd w:val="0"/>
        <w:ind w:firstLine="720"/>
        <w:jc w:val="both"/>
        <w:rPr>
          <w:color w:val="000000"/>
          <w:lang w:val="id-ID" w:eastAsia="id-ID"/>
        </w:rPr>
      </w:pPr>
      <w:r w:rsidRPr="00CE5CD5">
        <w:rPr>
          <w:color w:val="000000"/>
          <w:lang w:val="id-ID" w:eastAsia="id-ID"/>
        </w:rPr>
        <w:t>This research is conducted into two cycles of four meeting with the application of cooperative</w:t>
      </w:r>
      <w:r>
        <w:rPr>
          <w:color w:val="000000"/>
          <w:lang w:val="id-ID" w:eastAsia="id-ID"/>
        </w:rPr>
        <w:tab/>
        <w:t xml:space="preserve"> </w:t>
      </w:r>
      <w:r w:rsidRPr="00CE5CD5">
        <w:rPr>
          <w:color w:val="000000"/>
          <w:lang w:val="id-ID" w:eastAsia="id-ID"/>
        </w:rPr>
        <w:t>learning type Group Investigation (GI). The result of this action research class is the application of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cooperative learning type Group Investigation (GI) that consists of four phases: grouping, planning,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investigation, organizing, presenting, evaluating can increase critical thinking ability. In the first cycle,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the percentage of give simple explanation ability aspect is 66,24%, qualification average; the percentage</w:t>
      </w:r>
    </w:p>
    <w:p w:rsidR="00CE5CD5" w:rsidRPr="00CE5CD5" w:rsidRDefault="00CE5CD5" w:rsidP="00CE5CD5">
      <w:pPr>
        <w:autoSpaceDE w:val="0"/>
        <w:autoSpaceDN w:val="0"/>
        <w:adjustRightInd w:val="0"/>
        <w:jc w:val="both"/>
        <w:rPr>
          <w:color w:val="000000"/>
          <w:lang w:val="id-ID" w:eastAsia="id-ID"/>
        </w:rPr>
      </w:pPr>
      <w:r w:rsidRPr="00CE5CD5">
        <w:rPr>
          <w:color w:val="000000"/>
          <w:lang w:val="id-ID" w:eastAsia="id-ID"/>
        </w:rPr>
        <w:t>of give advance explanation aspect is 97,41%, qualification very high; strategy organizing and tactic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aspect reached 96,26%, qualification very high; summarize and evaluate aspect reached 36,50%,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qualification very low. Therefore, the percentage of critical thinking ability of XI Science 2 students is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74,10%, qualification average. In the second cycle, the percentage of give simple explanation ability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aspect is 94,83%, qualification very high; the percentage of give advance explanation aspect is 97,13%,</w:t>
      </w:r>
    </w:p>
    <w:p w:rsidR="00CE5CD5" w:rsidRPr="00CE5CD5" w:rsidRDefault="00CE5CD5" w:rsidP="00CE5CD5">
      <w:pPr>
        <w:autoSpaceDE w:val="0"/>
        <w:autoSpaceDN w:val="0"/>
        <w:adjustRightInd w:val="0"/>
        <w:jc w:val="both"/>
        <w:rPr>
          <w:color w:val="000000"/>
          <w:lang w:val="id-ID" w:eastAsia="id-ID"/>
        </w:rPr>
      </w:pPr>
      <w:r w:rsidRPr="00CE5CD5">
        <w:rPr>
          <w:color w:val="000000"/>
          <w:lang w:val="id-ID" w:eastAsia="id-ID"/>
        </w:rPr>
        <w:t>qualification very high; strategy organizing and tactic aspect reached 96,70%, qualification very high;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summarize and evaluate aspect reached 72,55%, qualification average. So, the critical thinking ability of</w:t>
      </w:r>
      <w:r>
        <w:rPr>
          <w:color w:val="000000"/>
          <w:lang w:val="id-ID" w:eastAsia="id-ID"/>
        </w:rPr>
        <w:t xml:space="preserve"> </w:t>
      </w:r>
      <w:r w:rsidRPr="00CE5CD5">
        <w:rPr>
          <w:color w:val="000000"/>
          <w:lang w:val="id-ID" w:eastAsia="id-ID"/>
        </w:rPr>
        <w:t>XI Science 2 is increase become 90,30% with qualification very high.</w:t>
      </w:r>
    </w:p>
    <w:p w:rsidR="00CE5CD5" w:rsidRDefault="00CE5CD5" w:rsidP="00CE5CD5">
      <w:pPr>
        <w:autoSpaceDE w:val="0"/>
        <w:autoSpaceDN w:val="0"/>
        <w:adjustRightInd w:val="0"/>
        <w:rPr>
          <w:color w:val="000000"/>
          <w:lang w:val="id-ID" w:eastAsia="id-ID"/>
        </w:rPr>
      </w:pPr>
    </w:p>
    <w:p w:rsidR="00CE5CD5" w:rsidRPr="00CE5CD5" w:rsidRDefault="00CE5CD5" w:rsidP="00CE5CD5">
      <w:pPr>
        <w:autoSpaceDE w:val="0"/>
        <w:autoSpaceDN w:val="0"/>
        <w:adjustRightInd w:val="0"/>
        <w:rPr>
          <w:color w:val="000000"/>
          <w:lang w:val="id-ID" w:eastAsia="id-ID"/>
        </w:rPr>
      </w:pPr>
      <w:r w:rsidRPr="00CE5CD5">
        <w:rPr>
          <w:color w:val="000000"/>
          <w:lang w:val="id-ID" w:eastAsia="id-ID"/>
        </w:rPr>
        <w:t>Keywords: critical thinking ability, Group Investigation.</w:t>
      </w:r>
    </w:p>
    <w:sectPr w:rsidR="00CE5CD5" w:rsidRPr="00CE5CD5" w:rsidSect="004F232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E9" w:rsidRDefault="009543E9" w:rsidP="007E0166">
      <w:r>
        <w:separator/>
      </w:r>
    </w:p>
  </w:endnote>
  <w:endnote w:type="continuationSeparator" w:id="0">
    <w:p w:rsidR="009543E9" w:rsidRDefault="009543E9" w:rsidP="007E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BoldItalic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66" w:rsidRDefault="007E0166" w:rsidP="007E0166">
    <w:pPr>
      <w:autoSpaceDE w:val="0"/>
      <w:autoSpaceDN w:val="0"/>
      <w:adjustRightInd w:val="0"/>
      <w:rPr>
        <w:rFonts w:ascii="PalatinoLinotype-BoldItalic" w:hAnsi="PalatinoLinotype-BoldItalic" w:cs="PalatinoLinotype-BoldItalic"/>
        <w:b/>
        <w:bCs/>
        <w:i/>
        <w:iCs/>
        <w:sz w:val="19"/>
        <w:szCs w:val="19"/>
        <w:lang w:val="id-ID" w:eastAsia="id-ID"/>
      </w:rPr>
    </w:pPr>
    <w:r>
      <w:rPr>
        <w:rFonts w:ascii="PalatinoLinotype-BoldItalic" w:hAnsi="PalatinoLinotype-BoldItalic" w:cs="PalatinoLinotype-BoldItalic"/>
        <w:b/>
        <w:bCs/>
        <w:i/>
        <w:iCs/>
        <w:sz w:val="19"/>
        <w:szCs w:val="19"/>
        <w:lang w:val="id-ID" w:eastAsia="id-ID"/>
      </w:rPr>
      <w:t>Department of Mathematics Education, Yogyakarta State University</w:t>
    </w:r>
  </w:p>
  <w:p w:rsidR="007E0166" w:rsidRDefault="007E0166" w:rsidP="007E0166">
    <w:pPr>
      <w:autoSpaceDE w:val="0"/>
      <w:autoSpaceDN w:val="0"/>
      <w:adjustRightInd w:val="0"/>
      <w:rPr>
        <w:b/>
        <w:bCs/>
        <w:color w:val="000000"/>
        <w:sz w:val="23"/>
        <w:szCs w:val="23"/>
        <w:lang w:val="id-ID" w:eastAsia="id-ID"/>
      </w:rPr>
    </w:pPr>
    <w:r>
      <w:rPr>
        <w:rFonts w:ascii="PalatinoLinotype-BoldItalic" w:hAnsi="PalatinoLinotype-BoldItalic" w:cs="PalatinoLinotype-BoldItalic"/>
        <w:b/>
        <w:bCs/>
        <w:i/>
        <w:iCs/>
        <w:sz w:val="19"/>
        <w:szCs w:val="19"/>
        <w:lang w:val="id-ID" w:eastAsia="id-ID"/>
      </w:rPr>
      <w:t>Yogyakarta, July 21‐23,2011</w:t>
    </w:r>
  </w:p>
  <w:p w:rsidR="007E0166" w:rsidRPr="00BF1802" w:rsidRDefault="007E0166" w:rsidP="007E0166">
    <w:pPr>
      <w:pStyle w:val="Footer"/>
    </w:pPr>
  </w:p>
  <w:p w:rsidR="007E0166" w:rsidRPr="007E0166" w:rsidRDefault="007E0166" w:rsidP="007E01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E9" w:rsidRDefault="009543E9" w:rsidP="007E0166">
      <w:r>
        <w:separator/>
      </w:r>
    </w:p>
  </w:footnote>
  <w:footnote w:type="continuationSeparator" w:id="0">
    <w:p w:rsidR="009543E9" w:rsidRDefault="009543E9" w:rsidP="007E0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CD5"/>
    <w:rsid w:val="0013261F"/>
    <w:rsid w:val="004F2326"/>
    <w:rsid w:val="007E0166"/>
    <w:rsid w:val="009543E9"/>
    <w:rsid w:val="00B6221D"/>
    <w:rsid w:val="00C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32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0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016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E0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166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E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16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Company>Hewlett-Packard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Listy</dc:creator>
  <cp:lastModifiedBy>Endang Listy</cp:lastModifiedBy>
  <cp:revision>2</cp:revision>
  <dcterms:created xsi:type="dcterms:W3CDTF">2013-06-11T01:32:00Z</dcterms:created>
  <dcterms:modified xsi:type="dcterms:W3CDTF">2013-06-11T01:37:00Z</dcterms:modified>
</cp:coreProperties>
</file>